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Cs/>
          <w:color w:val="auto"/>
          <w:sz w:val="44"/>
          <w:szCs w:val="44"/>
        </w:rPr>
      </w:pPr>
    </w:p>
    <w:p>
      <w:pPr>
        <w:pStyle w:val="15"/>
        <w:keepNext w:val="0"/>
        <w:keepLines w:val="0"/>
        <w:pageBreakBefore w:val="0"/>
        <w:widowControl w:val="0"/>
        <w:kinsoku/>
        <w:wordWrap/>
        <w:overflowPunct/>
        <w:topLinePunct w:val="0"/>
        <w:bidi w:val="0"/>
        <w:snapToGrid/>
        <w:spacing w:line="600" w:lineRule="exact"/>
        <w:textAlignment w:val="auto"/>
        <w:rPr>
          <w:rFonts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b w:val="0"/>
          <w:bCs w:val="0"/>
          <w:color w:val="auto"/>
        </w:rPr>
        <w:t>厦门市电力需求响应实施方案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_GBK"/>
          <w:bCs/>
          <w:color w:val="auto"/>
          <w:sz w:val="44"/>
          <w:lang w:val="en" w:eastAsia="zh-CN"/>
        </w:rPr>
      </w:pPr>
      <w:r>
        <w:rPr>
          <w:rFonts w:hint="eastAsia" w:ascii="方正小标宋_GBK" w:hAnsi="方正小标宋_GBK" w:eastAsia="方正小标宋_GBK" w:cs="方正小标宋_GBK"/>
          <w:b w:val="0"/>
          <w:bCs w:val="0"/>
          <w:color w:val="auto"/>
        </w:rPr>
        <w:t>（</w:t>
      </w:r>
      <w:r>
        <w:rPr>
          <w:rFonts w:ascii="方正小标宋_GBK" w:hAnsi="方正小标宋_GBK" w:eastAsia="方正小标宋_GBK" w:cs="方正小标宋_GBK"/>
          <w:b w:val="0"/>
          <w:bCs w:val="0"/>
          <w:color w:val="auto"/>
        </w:rPr>
        <w:t>2023-2025</w:t>
      </w:r>
      <w:r>
        <w:rPr>
          <w:rFonts w:hint="eastAsia" w:ascii="方正小标宋_GBK" w:hAnsi="方正小标宋_GBK" w:eastAsia="方正小标宋_GBK" w:cs="方正小标宋_GBK"/>
          <w:b w:val="0"/>
          <w:bCs w:val="0"/>
          <w:color w:val="auto"/>
        </w:rPr>
        <w:t>年）</w:t>
      </w:r>
      <w:r>
        <w:rPr>
          <w:rFonts w:hint="eastAsia" w:ascii="方正小标宋_GBK" w:hAnsi="方正小标宋_GBK" w:eastAsia="方正小标宋_GBK" w:cs="方正小标宋_GBK"/>
          <w:b w:val="0"/>
          <w:bCs w:val="0"/>
          <w:color w:val="auto"/>
          <w:lang w:eastAsia="zh-CN"/>
        </w:rPr>
        <w:t>（征求意见稿）</w:t>
      </w:r>
    </w:p>
    <w:p>
      <w:pPr>
        <w:pStyle w:val="15"/>
        <w:keepNext w:val="0"/>
        <w:keepLines w:val="0"/>
        <w:pageBreakBefore w:val="0"/>
        <w:widowControl w:val="0"/>
        <w:kinsoku/>
        <w:wordWrap/>
        <w:overflowPunct/>
        <w:topLinePunct w:val="0"/>
        <w:bidi w:val="0"/>
        <w:snapToGrid/>
        <w:spacing w:line="600" w:lineRule="exact"/>
        <w:textAlignment w:val="auto"/>
        <w:rPr>
          <w:color w:val="auto"/>
        </w:rPr>
      </w:pP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为进一步优化电力资源配置，充分调动电力需求侧灵活负荷资源，应对我市电力可能出现的局部性、时段性、季节性供需紧缺问题，缓解电网运行压力，保障电力系统安全平稳运行，根据国家发展改革委、工业和信息化部等六部委《关于深入推进供给侧结构性改革做好新形势下电力需求侧管理工作的通知》（发改运行规〔</w:t>
      </w:r>
      <w:r>
        <w:rPr>
          <w:color w:val="auto"/>
        </w:rPr>
        <w:t>2017</w:t>
      </w:r>
      <w:r>
        <w:rPr>
          <w:rFonts w:hint="eastAsia"/>
          <w:color w:val="auto"/>
        </w:rPr>
        <w:t>〕</w:t>
      </w:r>
      <w:r>
        <w:rPr>
          <w:color w:val="auto"/>
        </w:rPr>
        <w:t>1690</w:t>
      </w:r>
      <w:r>
        <w:rPr>
          <w:rFonts w:hint="eastAsia"/>
          <w:color w:val="auto"/>
        </w:rPr>
        <w:t>号）以及省有关文件精神，结合我市实际，制定本方案。</w:t>
      </w:r>
    </w:p>
    <w:p>
      <w:pPr>
        <w:pStyle w:val="3"/>
        <w:keepNext w:val="0"/>
        <w:keepLines w:val="0"/>
        <w:pageBreakBefore w:val="0"/>
        <w:widowControl w:val="0"/>
        <w:kinsoku/>
        <w:wordWrap/>
        <w:overflowPunct/>
        <w:topLinePunct w:val="0"/>
        <w:bidi w:val="0"/>
        <w:snapToGrid/>
        <w:spacing w:line="600" w:lineRule="exact"/>
        <w:ind w:firstLine="660"/>
        <w:textAlignment w:val="auto"/>
        <w:rPr>
          <w:b w:val="0"/>
          <w:bCs w:val="0"/>
          <w:color w:val="auto"/>
        </w:rPr>
      </w:pPr>
      <w:r>
        <w:rPr>
          <w:rFonts w:hint="eastAsia"/>
          <w:b w:val="0"/>
          <w:bCs w:val="0"/>
          <w:color w:val="auto"/>
        </w:rPr>
        <w:t>一、总体要求</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本方案适用于激励型削峰需求响应。当国网厦门供电公司预判我市电力供需出现可预见性的供应缺口时，电力用户按照约定在缺口时段自愿削减、暂停用电负荷，可获得适当奖励补偿。逐步形成占我市年度最大用电负荷</w:t>
      </w:r>
      <w:r>
        <w:rPr>
          <w:color w:val="auto"/>
        </w:rPr>
        <w:t>5%</w:t>
      </w:r>
      <w:r>
        <w:rPr>
          <w:rFonts w:hint="eastAsia"/>
          <w:color w:val="auto"/>
        </w:rPr>
        <w:t>左右的需求侧机动调峰能力，保障我市电网运行稳定可靠。</w:t>
      </w:r>
    </w:p>
    <w:p>
      <w:pPr>
        <w:pStyle w:val="47"/>
        <w:keepNext w:val="0"/>
        <w:keepLines w:val="0"/>
        <w:pageBreakBefore w:val="0"/>
        <w:widowControl w:val="0"/>
        <w:kinsoku/>
        <w:wordWrap/>
        <w:overflowPunct/>
        <w:topLinePunct w:val="0"/>
        <w:bidi w:val="0"/>
        <w:snapToGrid/>
        <w:spacing w:line="600" w:lineRule="exact"/>
        <w:ind w:firstLine="660"/>
        <w:textAlignment w:val="auto"/>
        <w:rPr>
          <w:rFonts w:ascii="黑体" w:hAnsi="黑体" w:eastAsia="黑体" w:cs="黑体"/>
          <w:color w:val="auto"/>
        </w:rPr>
      </w:pPr>
      <w:r>
        <w:rPr>
          <w:rFonts w:hint="eastAsia" w:ascii="黑体" w:hAnsi="黑体" w:eastAsia="黑体" w:cs="黑体"/>
          <w:color w:val="auto"/>
        </w:rPr>
        <w:t>二、启动条件</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依托国网厦门供电公司建设厦门市虚拟电厂管理平台</w:t>
      </w:r>
      <w:r>
        <w:rPr>
          <w:rFonts w:hint="eastAsia"/>
          <w:color w:val="auto"/>
          <w:lang w:eastAsia="zh-CN"/>
        </w:rPr>
        <w:t>并实施</w:t>
      </w:r>
      <w:r>
        <w:rPr>
          <w:rFonts w:hint="eastAsia"/>
          <w:color w:val="auto"/>
        </w:rPr>
        <w:t>需求响应。国网厦门供电公司预测存在以下情况之一，优先启动削峰需求响应。</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（一）我市电力缺口小于等于当年预计最高负荷的</w:t>
      </w:r>
      <w:r>
        <w:rPr>
          <w:color w:val="auto"/>
        </w:rPr>
        <w:t>5%,</w:t>
      </w:r>
      <w:r>
        <w:rPr>
          <w:rFonts w:hint="eastAsia"/>
          <w:color w:val="auto"/>
        </w:rPr>
        <w:t>且缺口持续时间小于</w:t>
      </w:r>
      <w:r>
        <w:rPr>
          <w:color w:val="auto"/>
        </w:rPr>
        <w:t>4</w:t>
      </w:r>
      <w:r>
        <w:rPr>
          <w:rFonts w:hint="eastAsia"/>
          <w:color w:val="auto"/>
        </w:rPr>
        <w:t>个小时。</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（二）我市电网</w:t>
      </w:r>
      <w:r>
        <w:rPr>
          <w:color w:val="auto"/>
        </w:rPr>
        <w:t>220kV</w:t>
      </w:r>
      <w:r>
        <w:rPr>
          <w:rFonts w:hint="eastAsia"/>
          <w:color w:val="auto"/>
        </w:rPr>
        <w:t>变压器、</w:t>
      </w:r>
      <w:r>
        <w:rPr>
          <w:color w:val="auto"/>
        </w:rPr>
        <w:t>110kV</w:t>
      </w:r>
      <w:r>
        <w:rPr>
          <w:rFonts w:hint="eastAsia"/>
          <w:color w:val="auto"/>
        </w:rPr>
        <w:t>线路与变压器面临过载风险。</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（三）我市电网实时运行出现</w:t>
      </w:r>
      <w:r>
        <w:rPr>
          <w:color w:val="auto"/>
        </w:rPr>
        <w:t>220kV</w:t>
      </w:r>
      <w:r>
        <w:rPr>
          <w:rFonts w:hint="eastAsia"/>
          <w:color w:val="auto"/>
        </w:rPr>
        <w:t>变压器、</w:t>
      </w:r>
      <w:r>
        <w:rPr>
          <w:color w:val="auto"/>
        </w:rPr>
        <w:t>110kV</w:t>
      </w:r>
      <w:r>
        <w:rPr>
          <w:rFonts w:hint="eastAsia"/>
          <w:color w:val="auto"/>
        </w:rPr>
        <w:t>线路与变压器、馈线、台区重过载等。</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（四）其他不确定性因素造成的我市电网供需不平衡。</w:t>
      </w:r>
    </w:p>
    <w:p>
      <w:pPr>
        <w:pStyle w:val="47"/>
        <w:keepNext w:val="0"/>
        <w:keepLines w:val="0"/>
        <w:pageBreakBefore w:val="0"/>
        <w:widowControl w:val="0"/>
        <w:kinsoku/>
        <w:wordWrap/>
        <w:overflowPunct/>
        <w:topLinePunct w:val="0"/>
        <w:bidi w:val="0"/>
        <w:snapToGrid/>
        <w:spacing w:line="600" w:lineRule="exact"/>
        <w:ind w:firstLine="660"/>
        <w:textAlignment w:val="auto"/>
        <w:rPr>
          <w:rFonts w:hint="default" w:eastAsia="仿宋_GB2312"/>
          <w:color w:val="auto"/>
          <w:lang w:val="en-US" w:eastAsia="zh-CN"/>
        </w:rPr>
      </w:pPr>
      <w:r>
        <w:rPr>
          <w:rFonts w:hint="eastAsia"/>
          <w:color w:val="auto"/>
        </w:rPr>
        <w:t>若需求响应实际应邀能力不能覆盖我市电力供应缺口，则缺额部分衔接负荷管理方案。</w:t>
      </w:r>
      <w:r>
        <w:rPr>
          <w:rFonts w:hint="eastAsia"/>
          <w:color w:val="auto"/>
          <w:lang w:eastAsia="zh-CN"/>
        </w:rPr>
        <w:t>当电力缺口大于当年预计最高负荷的</w:t>
      </w:r>
      <w:r>
        <w:rPr>
          <w:rFonts w:hint="eastAsia"/>
          <w:color w:val="auto"/>
          <w:lang w:val="en-US" w:eastAsia="zh-CN"/>
        </w:rPr>
        <w:t>5%，或负荷缺口持续时间大于4个小时，则按程序启动负荷管理。</w:t>
      </w:r>
    </w:p>
    <w:p>
      <w:pPr>
        <w:pStyle w:val="4"/>
        <w:keepNext w:val="0"/>
        <w:keepLines w:val="0"/>
        <w:pageBreakBefore w:val="0"/>
        <w:widowControl w:val="0"/>
        <w:kinsoku/>
        <w:wordWrap/>
        <w:overflowPunct/>
        <w:topLinePunct w:val="0"/>
        <w:bidi w:val="0"/>
        <w:snapToGrid/>
        <w:spacing w:line="600" w:lineRule="exact"/>
        <w:ind w:firstLine="660"/>
        <w:textAlignment w:val="auto"/>
        <w:rPr>
          <w:rFonts w:ascii="黑体" w:hAnsi="黑体" w:eastAsia="黑体" w:cs="黑体"/>
          <w:b w:val="0"/>
          <w:bCs w:val="0"/>
          <w:color w:val="auto"/>
        </w:rPr>
      </w:pPr>
      <w:r>
        <w:rPr>
          <w:rFonts w:hint="eastAsia" w:ascii="黑体" w:hAnsi="黑体" w:eastAsia="黑体" w:cs="黑体"/>
          <w:b w:val="0"/>
          <w:bCs w:val="0"/>
          <w:color w:val="auto"/>
        </w:rPr>
        <w:t>三、响应主体</w:t>
      </w:r>
    </w:p>
    <w:p>
      <w:pPr>
        <w:pStyle w:val="4"/>
        <w:keepNext w:val="0"/>
        <w:keepLines w:val="0"/>
        <w:pageBreakBefore w:val="0"/>
        <w:widowControl w:val="0"/>
        <w:kinsoku/>
        <w:wordWrap/>
        <w:overflowPunct/>
        <w:topLinePunct w:val="0"/>
        <w:bidi w:val="0"/>
        <w:snapToGrid/>
        <w:spacing w:line="600" w:lineRule="exact"/>
        <w:ind w:firstLine="660"/>
        <w:textAlignment w:val="auto"/>
        <w:rPr>
          <w:b w:val="0"/>
          <w:bCs w:val="0"/>
          <w:color w:val="auto"/>
        </w:rPr>
      </w:pPr>
      <w:r>
        <w:rPr>
          <w:rFonts w:hint="eastAsia"/>
          <w:b w:val="0"/>
          <w:bCs w:val="0"/>
          <w:color w:val="auto"/>
        </w:rPr>
        <w:t>（一）电力用户</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Ansi="仿宋_GB2312" w:cs="仿宋_GB2312"/>
          <w:color w:val="auto"/>
        </w:rPr>
        <w:t>1.</w:t>
      </w:r>
      <w:r>
        <w:rPr>
          <w:rFonts w:hint="eastAsia"/>
          <w:color w:val="auto"/>
        </w:rPr>
        <w:t>在国网厦门供电公</w:t>
      </w:r>
      <w:bookmarkStart w:id="12" w:name="_GoBack"/>
      <w:bookmarkEnd w:id="12"/>
      <w:r>
        <w:rPr>
          <w:rFonts w:hint="eastAsia"/>
          <w:color w:val="auto"/>
        </w:rPr>
        <w:t>司具有独立电力营销户号，满足计量采集要求；响应持续时间不少于</w:t>
      </w:r>
      <w:r>
        <w:rPr>
          <w:color w:val="auto"/>
        </w:rPr>
        <w:t>30</w:t>
      </w:r>
      <w:r>
        <w:rPr>
          <w:rFonts w:hint="eastAsia"/>
          <w:color w:val="auto"/>
        </w:rPr>
        <w:t>分钟。</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Ansi="仿宋_GB2312" w:cs="仿宋_GB2312"/>
          <w:color w:val="auto"/>
        </w:rPr>
        <w:t>2.</w:t>
      </w:r>
      <w:r>
        <w:rPr>
          <w:rFonts w:hint="eastAsia"/>
          <w:color w:val="auto"/>
        </w:rPr>
        <w:t>响应负荷能力在</w:t>
      </w:r>
      <w:r>
        <w:rPr>
          <w:color w:val="auto"/>
        </w:rPr>
        <w:t>200</w:t>
      </w:r>
      <w:r>
        <w:rPr>
          <w:rFonts w:hint="eastAsia"/>
          <w:color w:val="auto"/>
        </w:rPr>
        <w:t>千瓦及以上的电力用户可作为直接需求用户参与需求响应，也可通过负荷聚合商代理参与。响应负荷能力在</w:t>
      </w:r>
      <w:r>
        <w:rPr>
          <w:color w:val="auto"/>
        </w:rPr>
        <w:t>200</w:t>
      </w:r>
      <w:r>
        <w:rPr>
          <w:rFonts w:hint="eastAsia"/>
          <w:color w:val="auto"/>
        </w:rPr>
        <w:t>千瓦以下的电力用户由负荷聚合商代理参与。</w:t>
      </w:r>
      <w:r>
        <w:rPr>
          <w:color w:val="auto"/>
        </w:rPr>
        <w:tab/>
      </w:r>
    </w:p>
    <w:p>
      <w:pPr>
        <w:pStyle w:val="4"/>
        <w:keepNext w:val="0"/>
        <w:keepLines w:val="0"/>
        <w:pageBreakBefore w:val="0"/>
        <w:widowControl w:val="0"/>
        <w:kinsoku/>
        <w:wordWrap/>
        <w:overflowPunct/>
        <w:topLinePunct w:val="0"/>
        <w:bidi w:val="0"/>
        <w:snapToGrid/>
        <w:spacing w:line="600" w:lineRule="exact"/>
        <w:ind w:firstLine="66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（二）负荷聚合商</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Ansi="仿宋_GB2312" w:cs="仿宋_GB2312"/>
          <w:color w:val="auto"/>
        </w:rPr>
        <w:t>1.</w:t>
      </w:r>
      <w:r>
        <w:rPr>
          <w:rFonts w:hint="eastAsia"/>
          <w:color w:val="auto"/>
        </w:rPr>
        <w:t>具备聚合</w:t>
      </w:r>
      <w:r>
        <w:rPr>
          <w:color w:val="auto"/>
        </w:rPr>
        <w:t>1000</w:t>
      </w:r>
      <w:r>
        <w:rPr>
          <w:rFonts w:hint="eastAsia"/>
          <w:color w:val="auto"/>
        </w:rPr>
        <w:t>千瓦及以上响应负荷能力。</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Ansi="仿宋_GB2312" w:cs="仿宋_GB2312"/>
          <w:color w:val="auto"/>
        </w:rPr>
        <w:t>2.</w:t>
      </w:r>
      <w:r>
        <w:rPr>
          <w:rFonts w:hint="eastAsia"/>
          <w:color w:val="auto"/>
        </w:rPr>
        <w:t>作为单个用户申请参与需求响应，其聚合代理的电力用户需满足电力用户条件。</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Ansi="仿宋_GB2312" w:cs="仿宋_GB2312"/>
          <w:color w:val="auto"/>
        </w:rPr>
        <w:t>3.</w:t>
      </w:r>
      <w:r>
        <w:rPr>
          <w:rFonts w:hint="eastAsia"/>
          <w:color w:val="auto"/>
        </w:rPr>
        <w:t>已建成负荷聚合商平台的，应接入厦门市虚拟电厂管理平台正常交互；未建成平台的，应通过虚拟电厂聚合商子平台接入厦门市虚拟电厂管理平台正常交互。</w:t>
      </w:r>
      <w:r>
        <w:rPr>
          <w:color w:val="auto"/>
        </w:rPr>
        <w:t xml:space="preserve"> </w:t>
      </w:r>
    </w:p>
    <w:p>
      <w:pPr>
        <w:pStyle w:val="4"/>
        <w:keepNext w:val="0"/>
        <w:keepLines w:val="0"/>
        <w:pageBreakBefore w:val="0"/>
        <w:widowControl w:val="0"/>
        <w:kinsoku/>
        <w:wordWrap/>
        <w:overflowPunct/>
        <w:topLinePunct w:val="0"/>
        <w:bidi w:val="0"/>
        <w:snapToGrid/>
        <w:spacing w:line="600" w:lineRule="exact"/>
        <w:ind w:firstLine="66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（三）其他相关事项</w:t>
      </w:r>
    </w:p>
    <w:p>
      <w:pPr>
        <w:pStyle w:val="2"/>
        <w:keepNext w:val="0"/>
        <w:keepLines w:val="0"/>
        <w:pageBreakBefore w:val="0"/>
        <w:widowControl w:val="0"/>
        <w:kinsoku/>
        <w:wordWrap/>
        <w:overflowPunct/>
        <w:topLinePunct w:val="0"/>
        <w:bidi w:val="0"/>
        <w:snapToGrid/>
        <w:spacing w:line="600" w:lineRule="exact"/>
        <w:ind w:firstLine="658" w:firstLineChars="200"/>
        <w:textAlignment w:val="auto"/>
        <w:rPr>
          <w:color w:val="auto"/>
        </w:rPr>
      </w:pPr>
      <w:r>
        <w:rPr>
          <w:rFonts w:ascii="仿宋_GB2312" w:hAnsi="仿宋_GB2312" w:cs="仿宋_GB2312"/>
          <w:color w:val="auto"/>
        </w:rPr>
        <w:t>1.</w:t>
      </w:r>
      <w:r>
        <w:rPr>
          <w:rFonts w:hint="eastAsia" w:ascii="仿宋_GB2312" w:hAnsi="仿宋_GB2312" w:cs="仿宋_GB2312"/>
          <w:color w:val="auto"/>
        </w:rPr>
        <w:t>国网厦门供电公司组织电力用户、负荷聚合商申请参与，</w:t>
      </w:r>
      <w:r>
        <w:rPr>
          <w:rFonts w:hint="eastAsia"/>
          <w:color w:val="auto"/>
        </w:rPr>
        <w:t>完成协议约定的需求响应可中断负荷容量争取达到当年响应需求量的</w:t>
      </w:r>
      <w:r>
        <w:rPr>
          <w:rFonts w:ascii="仿宋_GB2312" w:hAnsi="仿宋_GB2312" w:cs="仿宋_GB2312"/>
          <w:color w:val="auto"/>
          <w:szCs w:val="32"/>
        </w:rPr>
        <w:t>150%</w:t>
      </w:r>
      <w:r>
        <w:rPr>
          <w:rFonts w:hint="eastAsia" w:ascii="仿宋_GB2312" w:hAnsi="仿宋_GB2312" w:cs="仿宋_GB2312"/>
          <w:color w:val="auto"/>
          <w:szCs w:val="32"/>
        </w:rPr>
        <w:t>，作</w:t>
      </w:r>
      <w:r>
        <w:rPr>
          <w:rFonts w:hint="eastAsia"/>
          <w:color w:val="auto"/>
        </w:rPr>
        <w:t>为需求响应能力储备。</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highlight w:val="yellow"/>
        </w:rPr>
      </w:pPr>
      <w:r>
        <w:rPr>
          <w:rFonts w:hAnsi="仿宋_GB2312" w:cs="仿宋_GB2312"/>
          <w:color w:val="auto"/>
        </w:rPr>
        <w:t>2.</w:t>
      </w:r>
      <w:r>
        <w:rPr>
          <w:rFonts w:hint="eastAsia" w:hAnsi="仿宋_GB2312" w:cs="仿宋_GB2312"/>
          <w:color w:val="auto"/>
          <w:highlight w:val="none"/>
        </w:rPr>
        <w:t>单个工业用户约定响应量一般为该企业最高用电负荷的</w:t>
      </w:r>
      <w:r>
        <w:rPr>
          <w:rFonts w:hAnsi="仿宋_GB2312" w:cs="仿宋_GB2312"/>
          <w:color w:val="auto"/>
          <w:highlight w:val="none"/>
        </w:rPr>
        <w:t>5%-20%</w:t>
      </w:r>
      <w:r>
        <w:rPr>
          <w:rFonts w:hint="eastAsia" w:hAnsi="仿宋_GB2312" w:cs="仿宋_GB2312"/>
          <w:color w:val="auto"/>
          <w:highlight w:val="none"/>
        </w:rPr>
        <w:t>。</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Ansi="仿宋_GB2312" w:cs="仿宋_GB2312"/>
          <w:color w:val="auto"/>
        </w:rPr>
        <w:t>3.</w:t>
      </w:r>
      <w:r>
        <w:rPr>
          <w:rFonts w:hint="eastAsia" w:hAnsi="仿宋_GB2312" w:cs="仿宋_GB2312"/>
          <w:color w:val="auto"/>
        </w:rPr>
        <w:t>用户委托负荷聚合商参与需求响应，应与负荷聚合商签订需求响应可中断负荷业务委托协议，确定参与的设备以及负荷量，明确安全责任，委托协议扫描件上传至</w:t>
      </w:r>
      <w:r>
        <w:rPr>
          <w:rFonts w:hint="eastAsia"/>
          <w:color w:val="auto"/>
        </w:rPr>
        <w:t>厦门市</w:t>
      </w:r>
      <w:r>
        <w:rPr>
          <w:rFonts w:hint="eastAsia" w:hAnsi="仿宋_GB2312" w:cs="仿宋_GB2312"/>
          <w:color w:val="auto"/>
        </w:rPr>
        <w:t>虚拟电厂管理</w:t>
      </w:r>
      <w:r>
        <w:rPr>
          <w:rFonts w:hint="eastAsia"/>
          <w:color w:val="auto"/>
        </w:rPr>
        <w:t>平台。</w:t>
      </w:r>
    </w:p>
    <w:p>
      <w:pPr>
        <w:pStyle w:val="47"/>
        <w:keepNext w:val="0"/>
        <w:keepLines w:val="0"/>
        <w:pageBreakBefore w:val="0"/>
        <w:widowControl w:val="0"/>
        <w:kinsoku/>
        <w:wordWrap/>
        <w:overflowPunct/>
        <w:topLinePunct w:val="0"/>
        <w:bidi w:val="0"/>
        <w:snapToGrid/>
        <w:spacing w:line="600" w:lineRule="exact"/>
        <w:ind w:firstLine="660"/>
        <w:textAlignment w:val="auto"/>
        <w:rPr>
          <w:rFonts w:cs="Times New Roman"/>
          <w:bCs/>
          <w:color w:val="auto"/>
        </w:rPr>
      </w:pPr>
      <w:r>
        <w:rPr>
          <w:color w:val="auto"/>
        </w:rPr>
        <w:t>4.</w:t>
      </w:r>
      <w:r>
        <w:rPr>
          <w:rFonts w:hint="eastAsia"/>
          <w:color w:val="auto"/>
        </w:rPr>
        <w:t>鼓励</w:t>
      </w:r>
      <w:r>
        <w:rPr>
          <w:rFonts w:hint="eastAsia" w:cs="Times New Roman"/>
          <w:bCs/>
          <w:color w:val="auto"/>
        </w:rPr>
        <w:t>具备条件的中央空调负荷资源（不涉及民生及安全）接入</w:t>
      </w:r>
      <w:r>
        <w:rPr>
          <w:rFonts w:hint="eastAsia"/>
          <w:color w:val="auto"/>
        </w:rPr>
        <w:t>厦门市</w:t>
      </w:r>
      <w:r>
        <w:rPr>
          <w:rFonts w:hint="eastAsia" w:cs="Times New Roman"/>
          <w:bCs/>
          <w:color w:val="auto"/>
        </w:rPr>
        <w:t>虚拟电厂管理平台，参与实时响应。</w:t>
      </w:r>
    </w:p>
    <w:p>
      <w:pPr>
        <w:pStyle w:val="47"/>
        <w:keepNext w:val="0"/>
        <w:keepLines w:val="0"/>
        <w:pageBreakBefore w:val="0"/>
        <w:widowControl w:val="0"/>
        <w:kinsoku/>
        <w:wordWrap/>
        <w:overflowPunct/>
        <w:topLinePunct w:val="0"/>
        <w:bidi w:val="0"/>
        <w:snapToGrid/>
        <w:spacing w:line="600" w:lineRule="exact"/>
        <w:ind w:firstLine="660"/>
        <w:textAlignment w:val="auto"/>
        <w:rPr>
          <w:rFonts w:cs="Times New Roman"/>
          <w:bCs/>
          <w:color w:val="auto"/>
        </w:rPr>
      </w:pPr>
      <w:r>
        <w:rPr>
          <w:rFonts w:cs="Times New Roman"/>
          <w:bCs/>
          <w:color w:val="auto"/>
        </w:rPr>
        <w:t>5.</w:t>
      </w:r>
      <w:r>
        <w:rPr>
          <w:rFonts w:hint="eastAsia" w:cs="Times New Roman"/>
          <w:bCs/>
          <w:color w:val="auto"/>
        </w:rPr>
        <w:t>鼓励拥有</w:t>
      </w:r>
      <w:r>
        <w:rPr>
          <w:rFonts w:hint="eastAsia" w:hAnsi="宋体" w:cs="Times New Roman"/>
          <w:bCs/>
          <w:color w:val="auto"/>
        </w:rPr>
        <w:t>储能、电动车充电设施</w:t>
      </w:r>
      <w:r>
        <w:rPr>
          <w:rFonts w:hint="eastAsia" w:cs="Times New Roman"/>
          <w:bCs/>
          <w:color w:val="auto"/>
        </w:rPr>
        <w:t>、数据中心、自备电源（发电机、</w:t>
      </w:r>
      <w:r>
        <w:rPr>
          <w:rFonts w:cs="Times New Roman"/>
          <w:bCs/>
          <w:color w:val="auto"/>
        </w:rPr>
        <w:t>UPS</w:t>
      </w:r>
      <w:r>
        <w:rPr>
          <w:rFonts w:hint="eastAsia" w:cs="Times New Roman"/>
          <w:bCs/>
          <w:color w:val="auto"/>
        </w:rPr>
        <w:t>、</w:t>
      </w:r>
      <w:r>
        <w:rPr>
          <w:rFonts w:cs="Times New Roman"/>
          <w:bCs/>
          <w:color w:val="auto"/>
        </w:rPr>
        <w:t>EPS</w:t>
      </w:r>
      <w:r>
        <w:rPr>
          <w:rFonts w:hint="eastAsia" w:cs="Times New Roman"/>
          <w:bCs/>
          <w:color w:val="auto"/>
        </w:rPr>
        <w:t>、蓄电池）等资源的用户，接入</w:t>
      </w:r>
      <w:r>
        <w:rPr>
          <w:rFonts w:hint="eastAsia"/>
          <w:color w:val="auto"/>
        </w:rPr>
        <w:t>厦门市</w:t>
      </w:r>
      <w:r>
        <w:rPr>
          <w:rFonts w:hint="eastAsia" w:cs="Times New Roman"/>
          <w:bCs/>
          <w:color w:val="auto"/>
        </w:rPr>
        <w:t>虚拟电厂管理平台，参与需求响应。</w:t>
      </w:r>
    </w:p>
    <w:p>
      <w:pPr>
        <w:pStyle w:val="2"/>
        <w:keepNext w:val="0"/>
        <w:keepLines w:val="0"/>
        <w:pageBreakBefore w:val="0"/>
        <w:widowControl w:val="0"/>
        <w:kinsoku/>
        <w:wordWrap/>
        <w:overflowPunct/>
        <w:topLinePunct w:val="0"/>
        <w:bidi w:val="0"/>
        <w:snapToGrid/>
        <w:spacing w:line="600" w:lineRule="exact"/>
        <w:ind w:firstLine="658" w:firstLineChars="200"/>
        <w:textAlignment w:val="auto"/>
        <w:rPr>
          <w:rFonts w:ascii="黑体" w:hAnsi="黑体" w:eastAsia="黑体" w:cs="黑体"/>
          <w:color w:val="auto"/>
        </w:rPr>
      </w:pPr>
      <w:bookmarkStart w:id="0" w:name="bookmark20"/>
      <w:bookmarkEnd w:id="0"/>
      <w:bookmarkStart w:id="1" w:name="bookmark23"/>
      <w:bookmarkEnd w:id="1"/>
      <w:bookmarkStart w:id="2" w:name="bookmark28"/>
      <w:bookmarkEnd w:id="2"/>
      <w:bookmarkStart w:id="3" w:name="bookmark14"/>
      <w:bookmarkEnd w:id="3"/>
      <w:bookmarkStart w:id="4" w:name="bookmark19"/>
      <w:bookmarkEnd w:id="4"/>
      <w:bookmarkStart w:id="5" w:name="bookmark25"/>
      <w:bookmarkEnd w:id="5"/>
      <w:bookmarkStart w:id="6" w:name="bookmark26"/>
      <w:bookmarkEnd w:id="6"/>
      <w:bookmarkStart w:id="7" w:name="bookmark27"/>
      <w:bookmarkEnd w:id="7"/>
      <w:bookmarkStart w:id="8" w:name="bookmark22"/>
      <w:bookmarkEnd w:id="8"/>
      <w:bookmarkStart w:id="9" w:name="bookmark17"/>
      <w:bookmarkEnd w:id="9"/>
      <w:bookmarkStart w:id="10" w:name="bookmark18"/>
      <w:bookmarkEnd w:id="10"/>
      <w:bookmarkStart w:id="11" w:name="bookmark24"/>
      <w:bookmarkEnd w:id="11"/>
      <w:r>
        <w:rPr>
          <w:rFonts w:hint="eastAsia" w:ascii="黑体" w:hAnsi="黑体" w:eastAsia="黑体" w:cs="黑体"/>
          <w:color w:val="auto"/>
        </w:rPr>
        <w:t>四、响应实施</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需求响应分为日前响应、日内响应和实时响应三种类型。</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国网厦门供电公司根据我市电力供需情况预测达到启动条件，明确响应负荷目标值、响应时段并向市发改委报备，同步启动需求响应；紧急情况需启动实时响应的，可先实施后报备。</w:t>
      </w:r>
    </w:p>
    <w:p>
      <w:pPr>
        <w:pStyle w:val="47"/>
        <w:keepNext w:val="0"/>
        <w:keepLines w:val="0"/>
        <w:pageBreakBefore w:val="0"/>
        <w:widowControl w:val="0"/>
        <w:kinsoku/>
        <w:wordWrap/>
        <w:overflowPunct/>
        <w:topLinePunct w:val="0"/>
        <w:bidi w:val="0"/>
        <w:snapToGrid/>
        <w:spacing w:line="600" w:lineRule="exact"/>
        <w:ind w:firstLine="660"/>
        <w:textAlignment w:val="auto"/>
        <w:rPr>
          <w:rFonts w:ascii="楷体_GB2312" w:hAnsi="楷体_GB2312" w:eastAsia="楷体_GB2312" w:cs="楷体_GB2312"/>
          <w:color w:val="auto"/>
        </w:rPr>
      </w:pPr>
      <w:r>
        <w:rPr>
          <w:rFonts w:hint="eastAsia" w:ascii="楷体_GB2312" w:hAnsi="楷体_GB2312" w:eastAsia="楷体_GB2312" w:cs="楷体_GB2312"/>
          <w:color w:val="auto"/>
        </w:rPr>
        <w:t>（一）日前、日内响应</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b/>
          <w:bCs/>
          <w:color w:val="auto"/>
        </w:rPr>
        <w:t>1.</w:t>
      </w:r>
      <w:r>
        <w:rPr>
          <w:rFonts w:hint="eastAsia"/>
          <w:b/>
          <w:bCs/>
          <w:color w:val="auto"/>
        </w:rPr>
        <w:t>响应邀约。</w:t>
      </w:r>
      <w:r>
        <w:rPr>
          <w:rFonts w:hint="eastAsia"/>
          <w:color w:val="auto"/>
        </w:rPr>
        <w:t>在响应执行日前一天（日前）或响应时段前</w:t>
      </w:r>
      <w:r>
        <w:rPr>
          <w:color w:val="auto"/>
        </w:rPr>
        <w:t>4</w:t>
      </w:r>
      <w:r>
        <w:rPr>
          <w:rFonts w:hint="eastAsia"/>
          <w:color w:val="auto"/>
        </w:rPr>
        <w:t>小时（日内），国网厦门供电公司通过厦门市虚拟电厂管理平台向全部响应主体发出邀约通知，告知响应时段及需求量，并发布响应主体基线负荷。</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b/>
          <w:bCs/>
          <w:color w:val="auto"/>
        </w:rPr>
        <w:t>2.</w:t>
      </w:r>
      <w:r>
        <w:rPr>
          <w:rFonts w:hint="eastAsia"/>
          <w:b/>
          <w:bCs/>
          <w:color w:val="auto"/>
        </w:rPr>
        <w:t>邀约确认。</w:t>
      </w:r>
      <w:r>
        <w:rPr>
          <w:rFonts w:hint="eastAsia"/>
          <w:color w:val="auto"/>
        </w:rPr>
        <w:t>响应主体可通过“网上国网”、厦门市虚拟电厂管理平台客户端等查询基线负荷，于邀约截止时间前反馈是否参与本次需求响应和应邀负荷，逾时未反馈则视为不参与。</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b/>
          <w:bCs/>
          <w:color w:val="auto"/>
        </w:rPr>
        <w:t>3.</w:t>
      </w:r>
      <w:r>
        <w:rPr>
          <w:rFonts w:hint="eastAsia"/>
          <w:b/>
          <w:bCs/>
          <w:color w:val="auto"/>
        </w:rPr>
        <w:t>响应确认。</w:t>
      </w:r>
      <w:r>
        <w:rPr>
          <w:rFonts w:hint="eastAsia"/>
          <w:color w:val="auto"/>
        </w:rPr>
        <w:t>邀约截止后，国网厦门供电公司根据响应主体反馈情况统计当次应邀负荷总量。若应邀负荷总量大于当次供电缺口，则按应邀响应负荷由大到小（第一原则）、反馈时间由早到晚（第二原则）的规则排序，至应邀响应负荷累计值覆盖当次供电缺口。国网厦门供电公司确定响应用户及响应量后，应通知响应主体。</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b/>
          <w:bCs/>
          <w:color w:val="auto"/>
        </w:rPr>
        <w:t>4.</w:t>
      </w:r>
      <w:r>
        <w:rPr>
          <w:rFonts w:hint="eastAsia"/>
          <w:b/>
          <w:bCs/>
          <w:color w:val="auto"/>
        </w:rPr>
        <w:t>响应执行。</w:t>
      </w:r>
      <w:r>
        <w:rPr>
          <w:rFonts w:hint="eastAsia"/>
          <w:color w:val="auto"/>
        </w:rPr>
        <w:t>确认参与响应的用户应提前做好用电计划，按照约定在响应时段自行调整用电负荷，按时按量完成负荷压降。</w:t>
      </w:r>
    </w:p>
    <w:p>
      <w:pPr>
        <w:pStyle w:val="47"/>
        <w:keepNext w:val="0"/>
        <w:keepLines w:val="0"/>
        <w:pageBreakBefore w:val="0"/>
        <w:widowControl w:val="0"/>
        <w:kinsoku/>
        <w:wordWrap/>
        <w:overflowPunct/>
        <w:topLinePunct w:val="0"/>
        <w:bidi w:val="0"/>
        <w:snapToGrid/>
        <w:spacing w:line="600" w:lineRule="exact"/>
        <w:ind w:firstLine="660"/>
        <w:textAlignment w:val="auto"/>
        <w:rPr>
          <w:rFonts w:ascii="楷体_GB2312" w:hAnsi="楷体_GB2312" w:eastAsia="楷体_GB2312" w:cs="楷体_GB2312"/>
          <w:color w:val="auto"/>
        </w:rPr>
      </w:pPr>
      <w:r>
        <w:rPr>
          <w:rFonts w:hint="eastAsia" w:ascii="楷体_GB2312" w:hAnsi="楷体_GB2312" w:eastAsia="楷体_GB2312" w:cs="楷体_GB2312"/>
          <w:color w:val="auto"/>
        </w:rPr>
        <w:t>（二）实时响应</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b/>
          <w:bCs/>
          <w:color w:val="auto"/>
        </w:rPr>
        <w:t>1.</w:t>
      </w:r>
      <w:r>
        <w:rPr>
          <w:rFonts w:hint="eastAsia"/>
          <w:b/>
          <w:bCs/>
          <w:color w:val="auto"/>
        </w:rPr>
        <w:t>参与条件。</w:t>
      </w:r>
      <w:r>
        <w:rPr>
          <w:rFonts w:hint="eastAsia"/>
          <w:color w:val="auto"/>
        </w:rPr>
        <w:t>参与实时需求响应主体的</w:t>
      </w:r>
      <w:r>
        <w:rPr>
          <w:rFonts w:hint="eastAsia"/>
          <w:color w:val="auto"/>
          <w:lang w:eastAsia="zh-CN"/>
        </w:rPr>
        <w:t>用电</w:t>
      </w:r>
      <w:r>
        <w:rPr>
          <w:rFonts w:hint="eastAsia"/>
          <w:color w:val="auto"/>
        </w:rPr>
        <w:t>设备应具备可中断或快速柔性调节的特性，响应方式以自动需求响应为主，响应时间</w:t>
      </w:r>
      <w:r>
        <w:rPr>
          <w:color w:val="auto"/>
        </w:rPr>
        <w:t>30</w:t>
      </w:r>
      <w:r>
        <w:rPr>
          <w:rFonts w:hint="eastAsia"/>
          <w:color w:val="auto"/>
        </w:rPr>
        <w:t>分钟及以内，接入厦门市虚拟电厂管理平台统一调控。</w:t>
      </w:r>
      <w:r>
        <w:rPr>
          <w:color w:val="auto"/>
        </w:rPr>
        <w:t xml:space="preserve">  </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b/>
          <w:bCs/>
          <w:color w:val="auto"/>
        </w:rPr>
        <w:t>2.</w:t>
      </w:r>
      <w:r>
        <w:rPr>
          <w:rFonts w:hint="eastAsia"/>
          <w:b/>
          <w:bCs/>
          <w:color w:val="auto"/>
        </w:rPr>
        <w:t>响应执行。</w:t>
      </w:r>
      <w:r>
        <w:rPr>
          <w:rFonts w:hint="eastAsia"/>
          <w:color w:val="auto"/>
        </w:rPr>
        <w:t>实时响应通过厦门市虚拟电厂管理平台根据协议约定自动邀约及反馈。国网厦门供电公司通过厦门市虚拟电厂管理平台，根据负荷缺口及用户实时负荷情况，分配可调负荷、发送指令和完成响应需求。</w:t>
      </w:r>
    </w:p>
    <w:p>
      <w:pPr>
        <w:pStyle w:val="5"/>
        <w:keepNext w:val="0"/>
        <w:keepLines w:val="0"/>
        <w:pageBreakBefore w:val="0"/>
        <w:widowControl w:val="0"/>
        <w:kinsoku/>
        <w:wordWrap/>
        <w:overflowPunct/>
        <w:topLinePunct w:val="0"/>
        <w:bidi w:val="0"/>
        <w:snapToGrid/>
        <w:spacing w:line="600" w:lineRule="exact"/>
        <w:ind w:firstLine="660"/>
        <w:textAlignment w:val="auto"/>
        <w:rPr>
          <w:rFonts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（三）响应取消</w:t>
      </w:r>
    </w:p>
    <w:p>
      <w:pPr>
        <w:pStyle w:val="5"/>
        <w:keepNext w:val="0"/>
        <w:keepLines w:val="0"/>
        <w:pageBreakBefore w:val="0"/>
        <w:widowControl w:val="0"/>
        <w:kinsoku/>
        <w:wordWrap/>
        <w:overflowPunct/>
        <w:topLinePunct w:val="0"/>
        <w:bidi w:val="0"/>
        <w:snapToGrid/>
        <w:spacing w:line="600" w:lineRule="exact"/>
        <w:ind w:firstLine="660"/>
        <w:textAlignment w:val="auto"/>
        <w:rPr>
          <w:b w:val="0"/>
          <w:bCs w:val="0"/>
          <w:color w:val="auto"/>
        </w:rPr>
      </w:pPr>
      <w:r>
        <w:rPr>
          <w:rFonts w:hint="eastAsia"/>
          <w:b w:val="0"/>
          <w:bCs w:val="0"/>
          <w:color w:val="auto"/>
        </w:rPr>
        <w:t>国网厦门供电公司可根据电网运行实际情况，提出中止需求响应执行，向响应主体送达取消通知，并报备市发改委。</w:t>
      </w:r>
    </w:p>
    <w:p>
      <w:pPr>
        <w:pStyle w:val="4"/>
        <w:keepNext w:val="0"/>
        <w:keepLines w:val="0"/>
        <w:pageBreakBefore w:val="0"/>
        <w:widowControl w:val="0"/>
        <w:kinsoku/>
        <w:wordWrap/>
        <w:overflowPunct/>
        <w:topLinePunct w:val="0"/>
        <w:bidi w:val="0"/>
        <w:snapToGrid/>
        <w:spacing w:line="600" w:lineRule="exact"/>
        <w:ind w:firstLine="660"/>
        <w:textAlignment w:val="auto"/>
        <w:rPr>
          <w:rFonts w:ascii="黑体" w:hAnsi="黑体" w:eastAsia="黑体" w:cs="黑体"/>
          <w:b w:val="0"/>
          <w:bCs w:val="0"/>
          <w:color w:val="auto"/>
        </w:rPr>
      </w:pPr>
      <w:r>
        <w:rPr>
          <w:rFonts w:hint="eastAsia" w:ascii="黑体" w:hAnsi="黑体" w:eastAsia="黑体" w:cs="黑体"/>
          <w:b w:val="0"/>
          <w:bCs w:val="0"/>
          <w:color w:val="auto"/>
        </w:rPr>
        <w:t>五、效果评估</w:t>
      </w:r>
    </w:p>
    <w:p>
      <w:pPr>
        <w:pStyle w:val="5"/>
        <w:keepNext w:val="0"/>
        <w:keepLines w:val="0"/>
        <w:pageBreakBefore w:val="0"/>
        <w:widowControl w:val="0"/>
        <w:kinsoku/>
        <w:wordWrap/>
        <w:overflowPunct/>
        <w:topLinePunct w:val="0"/>
        <w:bidi w:val="0"/>
        <w:snapToGrid/>
        <w:spacing w:line="600" w:lineRule="exact"/>
        <w:ind w:firstLine="660"/>
        <w:textAlignment w:val="auto"/>
        <w:rPr>
          <w:rFonts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（一）基线计算方法</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日前、日内需求响应选择用户在执行响应日前</w:t>
      </w:r>
      <w:r>
        <w:rPr>
          <w:color w:val="auto"/>
        </w:rPr>
        <w:t>5</w:t>
      </w:r>
      <w:r>
        <w:rPr>
          <w:rFonts w:hint="eastAsia"/>
          <w:color w:val="auto"/>
        </w:rPr>
        <w:t>个正常用电工作日所对应响应时段的负荷曲线（采集周期为</w:t>
      </w:r>
      <w:r>
        <w:rPr>
          <w:color w:val="auto"/>
        </w:rPr>
        <w:t>15</w:t>
      </w:r>
      <w:r>
        <w:rPr>
          <w:rFonts w:hint="eastAsia"/>
          <w:color w:val="auto"/>
        </w:rPr>
        <w:t>分钟）作为基线；实时需求响应选择用户以执行响应前</w:t>
      </w:r>
      <w:r>
        <w:rPr>
          <w:color w:val="auto"/>
        </w:rPr>
        <w:t>2</w:t>
      </w:r>
      <w:r>
        <w:rPr>
          <w:rFonts w:hint="eastAsia"/>
          <w:color w:val="auto"/>
        </w:rPr>
        <w:t>小时的负荷曲线（采集周期为</w:t>
      </w:r>
      <w:r>
        <w:rPr>
          <w:color w:val="auto"/>
        </w:rPr>
        <w:t>30</w:t>
      </w:r>
      <w:r>
        <w:rPr>
          <w:rFonts w:hint="eastAsia"/>
          <w:color w:val="auto"/>
        </w:rPr>
        <w:t>秒）作为基线。</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rFonts w:hint="eastAsia"/>
          <w:color w:val="auto"/>
        </w:rPr>
        <w:t>负荷聚合商的基线，以其聚合的全体用户的基线合计得出。基线中出现的最大负荷称为基线最大负荷，根据基线计算出的平均负荷称为基线平均负荷。</w:t>
      </w:r>
    </w:p>
    <w:p>
      <w:pPr>
        <w:pStyle w:val="5"/>
        <w:keepNext w:val="0"/>
        <w:keepLines w:val="0"/>
        <w:pageBreakBefore w:val="0"/>
        <w:widowControl w:val="0"/>
        <w:kinsoku/>
        <w:wordWrap/>
        <w:overflowPunct/>
        <w:topLinePunct w:val="0"/>
        <w:bidi w:val="0"/>
        <w:snapToGrid/>
        <w:spacing w:line="600" w:lineRule="exact"/>
        <w:ind w:firstLine="660"/>
        <w:textAlignment w:val="auto"/>
        <w:rPr>
          <w:rFonts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（二）评估标准</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color w:val="auto"/>
        </w:rPr>
        <w:t>1.</w:t>
      </w:r>
      <w:r>
        <w:rPr>
          <w:rFonts w:hint="eastAsia"/>
          <w:color w:val="auto"/>
        </w:rPr>
        <w:t>国网厦门供电公司负责统计核定用户的负荷响应量和响应时间，实施监测、自动记录并判断响应实施效果，相关信息在系统保存时间不低于三年。</w:t>
      </w:r>
    </w:p>
    <w:p>
      <w:pPr>
        <w:pStyle w:val="47"/>
        <w:keepNext w:val="0"/>
        <w:keepLines w:val="0"/>
        <w:pageBreakBefore w:val="0"/>
        <w:widowControl w:val="0"/>
        <w:kinsoku/>
        <w:wordWrap/>
        <w:overflowPunct/>
        <w:topLinePunct w:val="0"/>
        <w:bidi w:val="0"/>
        <w:snapToGrid/>
        <w:spacing w:line="600" w:lineRule="exact"/>
        <w:ind w:firstLine="660"/>
        <w:textAlignment w:val="auto"/>
        <w:rPr>
          <w:color w:val="auto"/>
        </w:rPr>
      </w:pPr>
      <w:r>
        <w:rPr>
          <w:color w:val="auto"/>
        </w:rPr>
        <w:t>2.</w:t>
      </w:r>
      <w:r>
        <w:rPr>
          <w:rFonts w:hint="eastAsia"/>
          <w:color w:val="auto"/>
        </w:rPr>
        <w:t>用户在响应过程中须同时满足：一是响应时段最大负荷低于基线最大负荷；二是响应时段平均负荷低于基线平均负荷，且其差值不小于申报响应量的</w:t>
      </w:r>
      <w:r>
        <w:rPr>
          <w:color w:val="auto"/>
        </w:rPr>
        <w:t>50%</w:t>
      </w:r>
      <w:r>
        <w:rPr>
          <w:rFonts w:hint="eastAsia"/>
          <w:color w:val="auto"/>
        </w:rPr>
        <w:t>。满足以上条件视为有效响应，否则视为无效响应。</w:t>
      </w:r>
    </w:p>
    <w:p>
      <w:pPr>
        <w:pStyle w:val="47"/>
        <w:keepNext w:val="0"/>
        <w:keepLines w:val="0"/>
        <w:pageBreakBefore w:val="0"/>
        <w:widowControl w:val="0"/>
        <w:kinsoku/>
        <w:wordWrap/>
        <w:overflowPunct/>
        <w:topLinePunct w:val="0"/>
        <w:bidi w:val="0"/>
        <w:snapToGrid/>
        <w:spacing w:line="600" w:lineRule="exact"/>
        <w:ind w:firstLine="660"/>
        <w:textAlignment w:val="auto"/>
        <w:rPr>
          <w:rFonts w:hint="eastAsia"/>
          <w:color w:val="auto"/>
        </w:rPr>
      </w:pPr>
      <w:r>
        <w:rPr>
          <w:color w:val="auto"/>
        </w:rPr>
        <w:t>3.</w:t>
      </w:r>
      <w:r>
        <w:rPr>
          <w:rFonts w:hint="eastAsia"/>
          <w:color w:val="auto"/>
        </w:rPr>
        <w:t>参与响应主体在响应时段内实际负荷与基线负荷差值的算数平均值为实际响应负荷。参与日前或日内响应、且同时执行实时响应的，优先进行日前、日内响应效果评估，超过申报容量的响应负荷计入实时响应负荷量。用户实际响应量若大于协议响应量，以协议响应量兑现。</w:t>
      </w:r>
    </w:p>
    <w:p>
      <w:pPr>
        <w:pStyle w:val="47"/>
        <w:keepNext w:val="0"/>
        <w:keepLines w:val="0"/>
        <w:pageBreakBefore w:val="0"/>
        <w:widowControl w:val="0"/>
        <w:kinsoku/>
        <w:wordWrap/>
        <w:overflowPunct/>
        <w:topLinePunct w:val="0"/>
        <w:bidi w:val="0"/>
        <w:snapToGrid/>
        <w:spacing w:line="600" w:lineRule="exact"/>
        <w:ind w:firstLine="660"/>
        <w:textAlignment w:val="auto"/>
        <w:rPr>
          <w:rFonts w:hint="eastAsia" w:eastAsia="仿宋_GB2312"/>
          <w:color w:val="auto"/>
          <w:lang w:val="en-US" w:eastAsia="zh-CN"/>
        </w:rPr>
      </w:pPr>
      <w:r>
        <w:rPr>
          <w:rFonts w:hint="eastAsia"/>
          <w:color w:val="auto"/>
          <w:lang w:val="en-US" w:eastAsia="zh-CN"/>
        </w:rPr>
        <w:t>4.拥有储能、V2G、自备电源等资源且具备并网反向送电能力的用户，其响应负荷允许大于基线负荷，在评估响应结果时应叠加并网点计量的反向电量。</w:t>
      </w:r>
    </w:p>
    <w:p>
      <w:pPr>
        <w:pStyle w:val="4"/>
        <w:keepNext w:val="0"/>
        <w:keepLines w:val="0"/>
        <w:pageBreakBefore w:val="0"/>
        <w:widowControl w:val="0"/>
        <w:kinsoku/>
        <w:wordWrap/>
        <w:overflowPunct/>
        <w:topLinePunct w:val="0"/>
        <w:bidi w:val="0"/>
        <w:snapToGrid/>
        <w:spacing w:line="600" w:lineRule="exact"/>
        <w:ind w:firstLine="660"/>
        <w:textAlignment w:val="auto"/>
        <w:rPr>
          <w:rFonts w:ascii="黑体" w:hAnsi="黑体" w:eastAsia="黑体" w:cs="黑体"/>
          <w:b w:val="0"/>
          <w:bCs w:val="0"/>
          <w:color w:val="auto"/>
        </w:rPr>
      </w:pPr>
      <w:r>
        <w:rPr>
          <w:rFonts w:hint="eastAsia" w:ascii="黑体" w:hAnsi="黑体" w:eastAsia="黑体" w:cs="黑体"/>
          <w:b w:val="0"/>
          <w:bCs w:val="0"/>
          <w:color w:val="auto"/>
        </w:rPr>
        <w:t>六、激励措施</w:t>
      </w:r>
    </w:p>
    <w:p>
      <w:pPr>
        <w:pStyle w:val="5"/>
        <w:keepNext w:val="0"/>
        <w:keepLines w:val="0"/>
        <w:pageBreakBefore w:val="0"/>
        <w:widowControl w:val="0"/>
        <w:kinsoku/>
        <w:wordWrap/>
        <w:overflowPunct/>
        <w:topLinePunct w:val="0"/>
        <w:bidi w:val="0"/>
        <w:snapToGrid/>
        <w:spacing w:line="600" w:lineRule="exact"/>
        <w:ind w:firstLine="660"/>
        <w:textAlignment w:val="auto"/>
        <w:rPr>
          <w:rFonts w:ascii="楷体_GB2312" w:hAnsi="楷体_GB2312" w:eastAsia="楷体_GB2312" w:cs="楷体_GB2312"/>
          <w:color w:val="auto"/>
        </w:rPr>
      </w:pPr>
      <w:r>
        <w:rPr>
          <w:rFonts w:hint="eastAsia" w:ascii="楷体_GB2312" w:hAnsi="楷体_GB2312" w:eastAsia="楷体_GB2312" w:cs="楷体_GB2312"/>
          <w:b w:val="0"/>
          <w:bCs w:val="0"/>
          <w:color w:val="auto"/>
        </w:rPr>
        <w:t>（一）奖励补贴</w:t>
      </w:r>
    </w:p>
    <w:p>
      <w:pPr>
        <w:pStyle w:val="47"/>
        <w:keepNext w:val="0"/>
        <w:keepLines w:val="0"/>
        <w:pageBreakBefore w:val="0"/>
        <w:widowControl w:val="0"/>
        <w:kinsoku/>
        <w:wordWrap/>
        <w:overflowPunct/>
        <w:topLinePunct w:val="0"/>
        <w:bidi w:val="0"/>
        <w:snapToGrid/>
        <w:spacing w:line="600" w:lineRule="exact"/>
        <w:ind w:firstLine="660"/>
        <w:textAlignment w:val="auto"/>
        <w:rPr>
          <w:rFonts w:hint="eastAsia"/>
          <w:color w:val="auto"/>
        </w:rPr>
      </w:pPr>
      <w:r>
        <w:rPr>
          <w:b/>
          <w:bCs/>
          <w:color w:val="auto"/>
        </w:rPr>
        <w:t>1.</w:t>
      </w:r>
      <w:r>
        <w:rPr>
          <w:rFonts w:hint="eastAsia"/>
          <w:b/>
          <w:bCs/>
          <w:color w:val="auto"/>
        </w:rPr>
        <w:t>补贴计算。</w:t>
      </w:r>
      <w:r>
        <w:rPr>
          <w:rFonts w:hint="eastAsia"/>
          <w:color w:val="auto"/>
        </w:rPr>
        <w:t>用户需求响应补贴金额</w:t>
      </w:r>
      <w:r>
        <w:rPr>
          <w:color w:val="auto"/>
        </w:rPr>
        <w:t>=</w:t>
      </w:r>
      <w:r>
        <w:rPr>
          <w:rFonts w:hint="eastAsia"/>
          <w:color w:val="auto"/>
        </w:rPr>
        <w:t>实际响应负荷量×响应时间×补贴价格系数×响应</w:t>
      </w:r>
      <w:r>
        <w:rPr>
          <w:rFonts w:hint="eastAsia"/>
          <w:color w:val="auto"/>
          <w:lang w:eastAsia="zh-CN"/>
        </w:rPr>
        <w:t>速度</w:t>
      </w:r>
      <w:r>
        <w:rPr>
          <w:rFonts w:hint="eastAsia"/>
          <w:color w:val="auto"/>
        </w:rPr>
        <w:t>系数×补偿基准价格。补偿基准价格为</w:t>
      </w:r>
      <w:r>
        <w:rPr>
          <w:color w:val="auto"/>
        </w:rPr>
        <w:t>4</w:t>
      </w:r>
      <w:r>
        <w:rPr>
          <w:rFonts w:hint="eastAsia"/>
          <w:color w:val="auto"/>
        </w:rPr>
        <w:t>元</w:t>
      </w:r>
      <w:r>
        <w:rPr>
          <w:color w:val="auto"/>
        </w:rPr>
        <w:t>/</w:t>
      </w:r>
      <w:r>
        <w:rPr>
          <w:rFonts w:hint="eastAsia"/>
          <w:color w:val="auto"/>
        </w:rPr>
        <w:t>千瓦时，补贴价格系数和响应速度系数见下表。</w:t>
      </w:r>
    </w:p>
    <w:p>
      <w:pPr>
        <w:pStyle w:val="47"/>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eastAsia"/>
          <w:color w:val="auto"/>
          <w:lang w:val="en-US" w:eastAsia="zh-CN"/>
        </w:rPr>
      </w:pPr>
      <w:r>
        <w:rPr>
          <w:rFonts w:hint="eastAsia"/>
          <w:color w:val="auto"/>
        </w:rPr>
        <w:br w:type="page"/>
      </w:r>
      <w:r>
        <w:rPr>
          <w:rFonts w:hint="eastAsia"/>
          <w:color w:val="auto"/>
          <w:lang w:eastAsia="zh-CN"/>
        </w:rPr>
        <w:t>表</w:t>
      </w:r>
      <w:r>
        <w:rPr>
          <w:rFonts w:hint="eastAsia"/>
          <w:color w:val="auto"/>
          <w:lang w:val="en-US" w:eastAsia="zh-CN"/>
        </w:rPr>
        <w:t>1：补贴价格系数和响应速度系数表</w:t>
      </w:r>
    </w:p>
    <w:tbl>
      <w:tblPr>
        <w:tblStyle w:val="16"/>
        <w:tblW w:w="90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81"/>
        <w:gridCol w:w="1260"/>
        <w:gridCol w:w="2700"/>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补贴价格系数</w:t>
            </w:r>
          </w:p>
        </w:tc>
        <w:tc>
          <w:tcPr>
            <w:tcW w:w="3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响应速度系数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仿宋_GB2312" w:hAnsi="宋体" w:eastAsia="仿宋_GB2312" w:cs="仿宋_GB2312"/>
                <w:b/>
                <w:i w:val="0"/>
                <w:color w:val="auto"/>
                <w:sz w:val="32"/>
                <w:szCs w:val="32"/>
                <w:u w:val="none"/>
              </w:rPr>
            </w:pPr>
            <w:r>
              <w:rPr>
                <w:rFonts w:hint="eastAsia" w:ascii="仿宋_GB2312" w:hAnsi="宋体" w:eastAsia="仿宋_GB2312" w:cs="仿宋_GB2312"/>
                <w:b/>
                <w:i w:val="0"/>
                <w:color w:val="auto"/>
                <w:kern w:val="0"/>
                <w:sz w:val="32"/>
                <w:szCs w:val="32"/>
                <w:u w:val="none"/>
                <w:lang w:val="en-US" w:eastAsia="zh-CN" w:bidi="ar"/>
              </w:rPr>
              <w:t>实际响应容量占申报响应量的比例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b/>
                <w:i w:val="0"/>
                <w:color w:val="auto"/>
                <w:sz w:val="32"/>
                <w:szCs w:val="32"/>
                <w:u w:val="none"/>
              </w:rPr>
            </w:pPr>
            <w:r>
              <w:rPr>
                <w:rFonts w:hint="eastAsia" w:ascii="仿宋_GB2312" w:hAnsi="宋体" w:eastAsia="仿宋_GB2312" w:cs="仿宋_GB2312"/>
                <w:b/>
                <w:i w:val="0"/>
                <w:color w:val="auto"/>
                <w:kern w:val="0"/>
                <w:sz w:val="32"/>
                <w:szCs w:val="32"/>
                <w:u w:val="none"/>
                <w:lang w:val="en-US" w:eastAsia="zh-CN" w:bidi="ar"/>
              </w:rPr>
              <w:t>系数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b/>
                <w:i w:val="0"/>
                <w:color w:val="auto"/>
                <w:sz w:val="32"/>
                <w:szCs w:val="32"/>
                <w:u w:val="none"/>
              </w:rPr>
            </w:pPr>
            <w:r>
              <w:rPr>
                <w:rFonts w:hint="eastAsia" w:ascii="仿宋_GB2312" w:hAnsi="宋体" w:eastAsia="仿宋_GB2312" w:cs="仿宋_GB2312"/>
                <w:b/>
                <w:i w:val="0"/>
                <w:color w:val="auto"/>
                <w:kern w:val="0"/>
                <w:sz w:val="32"/>
                <w:szCs w:val="32"/>
                <w:u w:val="none"/>
                <w:lang w:val="en-US" w:eastAsia="zh-CN" w:bidi="ar"/>
              </w:rPr>
              <w:t>响应类型</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right="-32" w:rightChars="-10"/>
              <w:jc w:val="center"/>
              <w:textAlignment w:val="center"/>
              <w:rPr>
                <w:rFonts w:hint="eastAsia" w:ascii="仿宋_GB2312" w:hAnsi="宋体" w:eastAsia="仿宋_GB2312" w:cs="仿宋_GB2312"/>
                <w:b/>
                <w:i w:val="0"/>
                <w:color w:val="auto"/>
                <w:sz w:val="32"/>
                <w:szCs w:val="32"/>
                <w:u w:val="none"/>
              </w:rPr>
            </w:pPr>
            <w:r>
              <w:rPr>
                <w:rFonts w:hint="eastAsia" w:ascii="仿宋_GB2312" w:hAnsi="宋体" w:eastAsia="仿宋_GB2312" w:cs="仿宋_GB2312"/>
                <w:b/>
                <w:i w:val="0"/>
                <w:color w:val="auto"/>
                <w:kern w:val="0"/>
                <w:sz w:val="32"/>
                <w:szCs w:val="32"/>
                <w:u w:val="none"/>
                <w:lang w:val="en-US" w:eastAsia="zh-CN" w:bidi="ar"/>
              </w:rPr>
              <w:t>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&lt;50%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0</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日前、日内响应</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50%-80%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0.6</w:t>
            </w: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宋体" w:eastAsia="仿宋_GB2312" w:cs="仿宋_GB2312"/>
                <w:i w:val="0"/>
                <w:color w:val="auto"/>
                <w:sz w:val="32"/>
                <w:szCs w:val="3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&gt;80%（实时响应按100%</w:t>
            </w:r>
            <w:r>
              <w:rPr>
                <w:rStyle w:val="60"/>
                <w:rFonts w:hAnsi="宋体"/>
                <w:color w:val="auto"/>
                <w:sz w:val="32"/>
                <w:szCs w:val="32"/>
                <w:lang w:val="en-US" w:eastAsia="zh-CN" w:bidi="ar"/>
              </w:rPr>
              <w:t>）</w:t>
            </w:r>
          </w:p>
        </w:tc>
        <w:tc>
          <w:tcPr>
            <w:tcW w:w="1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1</w:t>
            </w:r>
          </w:p>
        </w:tc>
        <w:tc>
          <w:tcPr>
            <w:tcW w:w="2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实时响应</w:t>
            </w:r>
          </w:p>
        </w:tc>
        <w:tc>
          <w:tcPr>
            <w:tcW w:w="1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支持商业、办公楼宇、移动通信基站、用户侧备用电源、数据中心、电动汽车充换电站、冻库、轨道交通、居民、公共服务等用电设备经改造后参与实时响应。</w:t>
            </w:r>
          </w:p>
        </w:tc>
      </w:tr>
    </w:tbl>
    <w:p>
      <w:pPr>
        <w:pStyle w:val="47"/>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default"/>
          <w:color w:val="auto"/>
          <w:lang w:val="en-US" w:eastAsia="zh-CN"/>
        </w:rPr>
      </w:pP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color w:val="auto"/>
          <w:highlight w:val="yellow"/>
        </w:rPr>
      </w:pPr>
      <w:r>
        <w:rPr>
          <w:b/>
          <w:bCs/>
          <w:color w:val="auto"/>
        </w:rPr>
        <w:t>2.</w:t>
      </w:r>
      <w:r>
        <w:rPr>
          <w:rFonts w:hint="eastAsia"/>
          <w:b/>
          <w:bCs/>
          <w:color w:val="auto"/>
        </w:rPr>
        <w:t>资金来源。</w:t>
      </w:r>
      <w:r>
        <w:rPr>
          <w:rFonts w:hint="eastAsia"/>
          <w:color w:val="auto"/>
        </w:rPr>
        <w:t>需求响应补贴资金优先申请省级需求响应</w:t>
      </w:r>
      <w:r>
        <w:rPr>
          <w:rFonts w:hint="eastAsia"/>
          <w:color w:val="auto"/>
          <w:lang w:eastAsia="zh-CN"/>
        </w:rPr>
        <w:t>政策</w:t>
      </w:r>
      <w:r>
        <w:rPr>
          <w:rFonts w:hint="eastAsia"/>
          <w:color w:val="auto"/>
        </w:rPr>
        <w:t>补贴，与本方案的差额部分由市级资金补足。市级</w:t>
      </w:r>
      <w:r>
        <w:rPr>
          <w:rFonts w:hint="eastAsia"/>
          <w:color w:val="auto"/>
          <w:lang w:eastAsia="zh-CN"/>
        </w:rPr>
        <w:t>需求响应补贴</w:t>
      </w:r>
      <w:r>
        <w:rPr>
          <w:rFonts w:hint="eastAsia"/>
          <w:color w:val="auto"/>
        </w:rPr>
        <w:t>资金</w:t>
      </w:r>
      <w:r>
        <w:rPr>
          <w:rFonts w:hint="eastAsia"/>
          <w:color w:val="auto"/>
          <w:lang w:eastAsia="zh-CN"/>
        </w:rPr>
        <w:t>按照</w:t>
      </w:r>
      <w:r>
        <w:rPr>
          <w:rFonts w:hint="eastAsia"/>
          <w:color w:val="auto"/>
        </w:rPr>
        <w:t>年度预算</w:t>
      </w:r>
      <w:r>
        <w:rPr>
          <w:rFonts w:hint="eastAsia"/>
          <w:color w:val="auto"/>
          <w:lang w:eastAsia="zh-CN"/>
        </w:rPr>
        <w:t>安排予以兑现</w:t>
      </w:r>
      <w:r>
        <w:rPr>
          <w:rFonts w:hint="eastAsia"/>
          <w:color w:val="auto"/>
        </w:rPr>
        <w:t>，国网厦门供电公司应做好响应计划。</w:t>
      </w:r>
    </w:p>
    <w:p>
      <w:pPr>
        <w:pStyle w:val="5"/>
        <w:keepNext w:val="0"/>
        <w:keepLines w:val="0"/>
        <w:pageBreakBefore w:val="0"/>
        <w:widowControl w:val="0"/>
        <w:kinsoku/>
        <w:wordWrap/>
        <w:overflowPunct/>
        <w:topLinePunct w:val="0"/>
        <w:bidi w:val="0"/>
        <w:adjustRightInd/>
        <w:snapToGrid/>
        <w:spacing w:line="600" w:lineRule="exact"/>
        <w:ind w:firstLine="660"/>
        <w:textAlignment w:val="auto"/>
        <w:rPr>
          <w:rFonts w:hAnsi="宋体"/>
          <w:b w:val="0"/>
          <w:bCs w:val="0"/>
          <w:color w:val="auto"/>
        </w:rPr>
      </w:pPr>
      <w:r>
        <w:rPr>
          <w:b/>
          <w:bCs/>
          <w:color w:val="auto"/>
        </w:rPr>
        <w:t>3.</w:t>
      </w:r>
      <w:r>
        <w:rPr>
          <w:rFonts w:hint="eastAsia"/>
          <w:b/>
          <w:bCs/>
          <w:color w:val="auto"/>
        </w:rPr>
        <w:t>补贴发放。</w:t>
      </w:r>
      <w:r>
        <w:rPr>
          <w:rFonts w:hint="eastAsia"/>
          <w:b w:val="0"/>
          <w:bCs w:val="0"/>
          <w:color w:val="auto"/>
          <w:lang w:eastAsia="zh-CN"/>
        </w:rPr>
        <w:t>需求响应补贴发放采用每次测算、年度结算方式</w:t>
      </w:r>
      <w:r>
        <w:rPr>
          <w:rFonts w:hint="eastAsia"/>
          <w:b w:val="0"/>
          <w:bCs w:val="0"/>
          <w:color w:val="auto"/>
          <w:lang w:val="en-US" w:eastAsia="zh-CN"/>
        </w:rPr>
        <w:t>。</w:t>
      </w:r>
      <w:r>
        <w:rPr>
          <w:rFonts w:hint="eastAsia"/>
          <w:b w:val="0"/>
          <w:bCs w:val="0"/>
          <w:color w:val="auto"/>
        </w:rPr>
        <w:t>国网厦门供电公司分析评价需求响应实施效果并进行补贴核算，核算结果汇总报送市发改委予以</w:t>
      </w:r>
      <w:r>
        <w:rPr>
          <w:rFonts w:hint="eastAsia" w:hAnsi="宋体"/>
          <w:b w:val="0"/>
          <w:bCs w:val="0"/>
          <w:color w:val="auto"/>
        </w:rPr>
        <w:t>公示</w:t>
      </w:r>
      <w:r>
        <w:rPr>
          <w:rFonts w:hAnsi="宋体"/>
          <w:b w:val="0"/>
          <w:bCs w:val="0"/>
          <w:color w:val="auto"/>
        </w:rPr>
        <w:t>7</w:t>
      </w:r>
      <w:r>
        <w:rPr>
          <w:rFonts w:hint="eastAsia" w:hAnsi="宋体"/>
          <w:b w:val="0"/>
          <w:bCs w:val="0"/>
          <w:color w:val="auto"/>
        </w:rPr>
        <w:t>个工作日。市发改委根据公示结果将需求响应专项资金拨付到国网厦门供电公司账户，由国网厦门供电公司完成用户补贴金额的结算发放。</w:t>
      </w:r>
    </w:p>
    <w:p>
      <w:pPr>
        <w:pStyle w:val="4"/>
        <w:keepNext w:val="0"/>
        <w:keepLines w:val="0"/>
        <w:pageBreakBefore w:val="0"/>
        <w:widowControl w:val="0"/>
        <w:kinsoku/>
        <w:wordWrap/>
        <w:overflowPunct/>
        <w:topLinePunct w:val="0"/>
        <w:bidi w:val="0"/>
        <w:adjustRightInd/>
        <w:snapToGrid/>
        <w:spacing w:line="600" w:lineRule="exact"/>
        <w:ind w:firstLine="660"/>
        <w:textAlignment w:val="auto"/>
        <w:rPr>
          <w:b w:val="0"/>
          <w:bCs w:val="0"/>
          <w:color w:val="auto"/>
        </w:rPr>
      </w:pPr>
      <w:r>
        <w:rPr>
          <w:rFonts w:hint="eastAsia"/>
          <w:b w:val="0"/>
          <w:bCs w:val="0"/>
          <w:color w:val="auto"/>
        </w:rPr>
        <w:t>（二）其他激励措施</w:t>
      </w: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ascii="Times New Roman" w:cs="Times New Roman"/>
          <w:color w:val="auto"/>
        </w:rPr>
      </w:pPr>
      <w:r>
        <w:rPr>
          <w:color w:val="auto"/>
        </w:rPr>
        <w:t>1.</w:t>
      </w:r>
      <w:r>
        <w:rPr>
          <w:rFonts w:hint="eastAsia"/>
          <w:color w:val="auto"/>
        </w:rPr>
        <w:t>已应邀参与需求响应用户，在执行负荷管理的序位靠后，邀约反馈的响应负荷与基线负荷比值越大，序位越靠后；未参与需求响应的用户，按原负荷管理的序位执行。</w:t>
      </w: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ascii="Times New Roman" w:cs="Times New Roman"/>
          <w:color w:val="auto"/>
        </w:rPr>
      </w:pPr>
      <w:r>
        <w:rPr>
          <w:color w:val="auto"/>
        </w:rPr>
        <w:t>2.</w:t>
      </w:r>
      <w:r>
        <w:rPr>
          <w:rFonts w:hint="eastAsia"/>
          <w:color w:val="auto"/>
        </w:rPr>
        <w:t>将应邀履约需求响应作为评审加分项，纳入厦门市企业申请技术创新基金评审规则，</w:t>
      </w:r>
      <w:r>
        <w:rPr>
          <w:rFonts w:hint="eastAsia" w:ascii="Times New Roman" w:cs="Times New Roman"/>
          <w:color w:val="auto"/>
        </w:rPr>
        <w:t>为企业低碳转型提供金融扶持。</w:t>
      </w: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ascii="黑体" w:hAnsi="黑体" w:eastAsia="黑体" w:cs="黑体"/>
          <w:color w:val="auto"/>
        </w:rPr>
      </w:pPr>
      <w:r>
        <w:rPr>
          <w:rFonts w:hint="eastAsia" w:ascii="黑体" w:hAnsi="黑体" w:eastAsia="黑体" w:cs="黑体"/>
          <w:color w:val="auto"/>
        </w:rPr>
        <w:t>七、运行保障</w:t>
      </w: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ascii="Times New Roman" w:cs="Times New Roman"/>
          <w:color w:val="auto"/>
        </w:rPr>
      </w:pPr>
      <w:r>
        <w:rPr>
          <w:rFonts w:hint="eastAsia" w:ascii="Times New Roman" w:cs="Times New Roman"/>
          <w:color w:val="auto"/>
        </w:rPr>
        <w:t>国网厦门供电公司履行需求响应运营、监控和风险防范等职责，加强业务指导确保参与需求响应用户的知情权，做好需求响应用户审核和协议签订工作，负责对需求响应签约用户的负荷管理装置的检查运维工作，确保负荷数据监测的准确性和实时性，加强应急演练检验需求响应资源池实效，保障需求响应有效实施和电网运行安全。</w:t>
      </w: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hint="eastAsia" w:ascii="Times New Roman" w:cs="Times New Roman"/>
          <w:color w:val="auto"/>
        </w:rPr>
      </w:pPr>
      <w:r>
        <w:rPr>
          <w:rFonts w:hint="eastAsia" w:ascii="Times New Roman" w:cs="Times New Roman"/>
          <w:color w:val="auto"/>
        </w:rPr>
        <w:t>签约参与需求响应坚持用户自愿原则。用户确认参与需求响应后，应按约定按时足额响应，严禁出现响应时段平均负荷较平均基线负荷不降反升情况。若因此发生影响电网安全或紧急拉路造成大面积停电损失的，追究其相应责任。</w:t>
      </w: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hint="eastAsia" w:ascii="Times New Roman" w:cs="Times New Roman"/>
          <w:color w:val="auto"/>
        </w:rPr>
      </w:pP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hint="eastAsia" w:ascii="Times New Roman" w:cs="Times New Roman"/>
          <w:color w:val="auto"/>
        </w:rPr>
      </w:pP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hint="eastAsia" w:ascii="Times New Roman" w:cs="Times New Roman"/>
          <w:color w:val="auto"/>
        </w:rPr>
      </w:pPr>
    </w:p>
    <w:p>
      <w:pPr>
        <w:pStyle w:val="47"/>
        <w:keepNext w:val="0"/>
        <w:keepLines w:val="0"/>
        <w:pageBreakBefore w:val="0"/>
        <w:widowControl w:val="0"/>
        <w:kinsoku/>
        <w:wordWrap/>
        <w:overflowPunct/>
        <w:topLinePunct w:val="0"/>
        <w:bidi w:val="0"/>
        <w:adjustRightInd/>
        <w:snapToGrid/>
        <w:spacing w:line="600" w:lineRule="exact"/>
        <w:ind w:firstLine="660"/>
        <w:textAlignment w:val="auto"/>
        <w:rPr>
          <w:rFonts w:hint="eastAsia" w:ascii="Times New Roman" w:cs="Times New Roman"/>
          <w:color w:val="auto"/>
        </w:rPr>
      </w:pPr>
    </w:p>
    <w:sectPr>
      <w:headerReference r:id="rId5" w:type="default"/>
      <w:footerReference r:id="rId7" w:type="default"/>
      <w:headerReference r:id="rId6" w:type="even"/>
      <w:footerReference r:id="rId8" w:type="even"/>
      <w:pgSz w:w="11906" w:h="16838"/>
      <w:pgMar w:top="1700" w:right="1480" w:bottom="1300" w:left="1560" w:header="851" w:footer="1361" w:gutter="0"/>
      <w:pgBorders>
        <w:top w:val="none" w:sz="0" w:space="0"/>
        <w:left w:val="none" w:sz="0" w:space="0"/>
        <w:bottom w:val="none" w:sz="0" w:space="0"/>
        <w:right w:val="none" w:sz="0" w:space="0"/>
      </w:pgBorders>
      <w:cols w:space="720" w:num="1"/>
      <w:docGrid w:type="linesAndChars" w:linePitch="579" w:charSpace="20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dobeHeitiStd-Regular">
    <w:altName w:val="仿宋"/>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11"/>
      <w:jc w:val="right"/>
      <w:rPr>
        <w:rFonts w:ascii="楷体_GB2312" w:eastAsia="楷体_GB2312"/>
        <w:sz w:val="28"/>
      </w:rPr>
    </w:pPr>
    <w:r>
      <w:rPr>
        <w:rStyle w:val="20"/>
        <w:rFonts w:ascii="楷体_GB2312" w:eastAsia="楷体_GB2312" w:cs="宋体"/>
        <w:sz w:val="28"/>
      </w:rPr>
      <w:t>—</w:t>
    </w:r>
    <w:r>
      <w:rPr>
        <w:rStyle w:val="20"/>
        <w:rFonts w:ascii="宋体" w:hAnsi="宋体" w:eastAsia="宋体" w:cs="宋体"/>
        <w:sz w:val="28"/>
      </w:rPr>
      <w:fldChar w:fldCharType="begin"/>
    </w:r>
    <w:r>
      <w:rPr>
        <w:rStyle w:val="20"/>
        <w:rFonts w:ascii="宋体" w:hAnsi="宋体" w:eastAsia="宋体" w:cs="宋体"/>
        <w:sz w:val="28"/>
      </w:rPr>
      <w:instrText xml:space="preserve"> PAGE </w:instrText>
    </w:r>
    <w:r>
      <w:rPr>
        <w:rStyle w:val="20"/>
        <w:rFonts w:ascii="宋体" w:hAnsi="宋体" w:eastAsia="宋体" w:cs="宋体"/>
        <w:sz w:val="28"/>
      </w:rPr>
      <w:fldChar w:fldCharType="separate"/>
    </w:r>
    <w:r>
      <w:rPr>
        <w:rStyle w:val="20"/>
        <w:rFonts w:ascii="宋体" w:hAnsi="宋体" w:eastAsia="宋体" w:cs="宋体"/>
        <w:sz w:val="28"/>
      </w:rPr>
      <w:t>7</w:t>
    </w:r>
    <w:r>
      <w:rPr>
        <w:rStyle w:val="20"/>
        <w:rFonts w:ascii="宋体" w:hAnsi="宋体" w:eastAsia="宋体" w:cs="宋体"/>
        <w:sz w:val="28"/>
      </w:rPr>
      <w:fldChar w:fldCharType="end"/>
    </w:r>
    <w:r>
      <w:rPr>
        <w:rStyle w:val="20"/>
        <w:rFonts w:ascii="楷体_GB2312" w:eastAsia="楷体_GB2312"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楷体_GB2312" w:eastAsia="楷体_GB2312"/>
        <w:sz w:val="28"/>
      </w:rPr>
    </w:pPr>
    <w:r>
      <w:rPr>
        <w:rStyle w:val="20"/>
        <w:rFonts w:ascii="楷体_GB2312" w:eastAsia="楷体_GB2312" w:cs="宋体"/>
        <w:sz w:val="28"/>
      </w:rPr>
      <w:t>—</w:t>
    </w:r>
    <w:r>
      <w:rPr>
        <w:rStyle w:val="20"/>
        <w:rFonts w:ascii="宋体" w:hAnsi="宋体" w:eastAsia="宋体" w:cs="宋体"/>
        <w:sz w:val="28"/>
      </w:rPr>
      <w:fldChar w:fldCharType="begin"/>
    </w:r>
    <w:r>
      <w:rPr>
        <w:rStyle w:val="20"/>
        <w:rFonts w:ascii="宋体" w:hAnsi="宋体" w:eastAsia="宋体" w:cs="宋体"/>
        <w:sz w:val="28"/>
      </w:rPr>
      <w:instrText xml:space="preserve"> PAGE </w:instrText>
    </w:r>
    <w:r>
      <w:rPr>
        <w:rStyle w:val="20"/>
        <w:rFonts w:ascii="宋体" w:hAnsi="宋体" w:eastAsia="宋体" w:cs="宋体"/>
        <w:sz w:val="28"/>
      </w:rPr>
      <w:fldChar w:fldCharType="separate"/>
    </w:r>
    <w:r>
      <w:rPr>
        <w:rStyle w:val="20"/>
        <w:rFonts w:ascii="宋体" w:hAnsi="宋体" w:eastAsia="宋体" w:cs="宋体"/>
        <w:sz w:val="28"/>
      </w:rPr>
      <w:t>8</w:t>
    </w:r>
    <w:r>
      <w:rPr>
        <w:rStyle w:val="20"/>
        <w:rFonts w:ascii="宋体" w:hAnsi="宋体" w:eastAsia="宋体" w:cs="宋体"/>
        <w:sz w:val="28"/>
      </w:rPr>
      <w:fldChar w:fldCharType="end"/>
    </w:r>
    <w:r>
      <w:rPr>
        <w:rStyle w:val="20"/>
        <w:rFonts w:ascii="楷体_GB2312" w:eastAsia="楷体_GB2312" w:cs="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57"/>
      <w:suff w:val="nothing"/>
      <w:lvlText w:val="%1．"/>
      <w:lvlJc w:val="left"/>
      <w:pPr>
        <w:ind w:firstLine="400"/>
      </w:pPr>
      <w:rPr>
        <w:rFonts w:hint="default" w:cs="Times New Roman"/>
      </w:rPr>
    </w:lvl>
  </w:abstractNum>
  <w:abstractNum w:abstractNumId="1">
    <w:nsid w:val="0053208E"/>
    <w:multiLevelType w:val="singleLevel"/>
    <w:tmpl w:val="0053208E"/>
    <w:lvl w:ilvl="0" w:tentative="0">
      <w:start w:val="1"/>
      <w:numFmt w:val="chineseCounting"/>
      <w:pStyle w:val="54"/>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mirrorMargins w:val="true"/>
  <w:bordersDoNotSurroundHeader w:val="false"/>
  <w:bordersDoNotSurroundFooter w:val="false"/>
  <w:documentProtection w:enforcement="0"/>
  <w:defaultTabStop w:val="720"/>
  <w:doNotHyphenateCaps/>
  <w:evenAndOddHeaders w:val="true"/>
  <w:drawingGridHorizontalSpacing w:val="159"/>
  <w:drawingGridVerticalSpacing w:val="57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dhMWMyNjJmZjBhZmRmMTI2OTQ5OTlmOTU1YjIzYjEifQ=="/>
  </w:docVars>
  <w:rsids>
    <w:rsidRoot w:val="003C2B63"/>
    <w:rsid w:val="0006586F"/>
    <w:rsid w:val="00094D70"/>
    <w:rsid w:val="000B45C4"/>
    <w:rsid w:val="000D5458"/>
    <w:rsid w:val="00207F74"/>
    <w:rsid w:val="0022426D"/>
    <w:rsid w:val="002302B1"/>
    <w:rsid w:val="00276510"/>
    <w:rsid w:val="003C2B63"/>
    <w:rsid w:val="00411303"/>
    <w:rsid w:val="004171BA"/>
    <w:rsid w:val="005178A3"/>
    <w:rsid w:val="00522244"/>
    <w:rsid w:val="005668C2"/>
    <w:rsid w:val="006A0F5B"/>
    <w:rsid w:val="006A19C9"/>
    <w:rsid w:val="006B2203"/>
    <w:rsid w:val="006D6367"/>
    <w:rsid w:val="008E3EC9"/>
    <w:rsid w:val="009A1578"/>
    <w:rsid w:val="009F627A"/>
    <w:rsid w:val="00A13DF6"/>
    <w:rsid w:val="00AE2B20"/>
    <w:rsid w:val="00AE72E5"/>
    <w:rsid w:val="00AF08B3"/>
    <w:rsid w:val="00C11CB0"/>
    <w:rsid w:val="00C13108"/>
    <w:rsid w:val="00C21E5A"/>
    <w:rsid w:val="00C70123"/>
    <w:rsid w:val="00D044DA"/>
    <w:rsid w:val="00DA6115"/>
    <w:rsid w:val="00EA6BEC"/>
    <w:rsid w:val="00EB1694"/>
    <w:rsid w:val="00EB2D26"/>
    <w:rsid w:val="00EB2DEC"/>
    <w:rsid w:val="00ED0870"/>
    <w:rsid w:val="00ED6653"/>
    <w:rsid w:val="00EE3E89"/>
    <w:rsid w:val="22FFCE4B"/>
    <w:rsid w:val="37B735D4"/>
    <w:rsid w:val="3B2F3D68"/>
    <w:rsid w:val="3DDE001A"/>
    <w:rsid w:val="4BFA16A2"/>
    <w:rsid w:val="4FF90489"/>
    <w:rsid w:val="50674F35"/>
    <w:rsid w:val="55FD739B"/>
    <w:rsid w:val="586E0F23"/>
    <w:rsid w:val="5BCFB323"/>
    <w:rsid w:val="5DB2CB4A"/>
    <w:rsid w:val="6FFB64AC"/>
    <w:rsid w:val="6FFB81C4"/>
    <w:rsid w:val="77DEB7F5"/>
    <w:rsid w:val="77FFA0E0"/>
    <w:rsid w:val="79FEBD43"/>
    <w:rsid w:val="7D7BE927"/>
    <w:rsid w:val="7FD60D55"/>
    <w:rsid w:val="97D7DFF8"/>
    <w:rsid w:val="9F67F1BF"/>
    <w:rsid w:val="AE67D762"/>
    <w:rsid w:val="AFAE57F3"/>
    <w:rsid w:val="CFCFFB6F"/>
    <w:rsid w:val="D5BA5060"/>
    <w:rsid w:val="DEDF9B32"/>
    <w:rsid w:val="DFFF29D0"/>
    <w:rsid w:val="E17E8B5A"/>
    <w:rsid w:val="EFF15799"/>
    <w:rsid w:val="F8BFEC4C"/>
    <w:rsid w:val="FBDBD13D"/>
    <w:rsid w:val="FDCF1DD7"/>
    <w:rsid w:val="FDFF811F"/>
    <w:rsid w:val="FFFFF5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宋体"/>
      <w:kern w:val="2"/>
      <w:sz w:val="32"/>
      <w:szCs w:val="20"/>
      <w:lang w:val="en-US" w:eastAsia="zh-CN" w:bidi="ar-SA"/>
    </w:rPr>
  </w:style>
  <w:style w:type="paragraph" w:styleId="3">
    <w:name w:val="heading 1"/>
    <w:basedOn w:val="1"/>
    <w:next w:val="1"/>
    <w:link w:val="23"/>
    <w:qFormat/>
    <w:uiPriority w:val="99"/>
    <w:pPr>
      <w:autoSpaceDE w:val="0"/>
      <w:autoSpaceDN w:val="0"/>
      <w:spacing w:line="580" w:lineRule="exact"/>
      <w:ind w:firstLine="643" w:firstLineChars="200"/>
      <w:outlineLvl w:val="0"/>
    </w:pPr>
    <w:rPr>
      <w:rFonts w:ascii="黑体" w:hAnsi="黑体" w:eastAsia="黑体" w:cs="AdobeHeitiStd-Regular"/>
      <w:b/>
      <w:bCs/>
      <w:kern w:val="0"/>
      <w:szCs w:val="32"/>
    </w:rPr>
  </w:style>
  <w:style w:type="paragraph" w:styleId="4">
    <w:name w:val="heading 2"/>
    <w:basedOn w:val="1"/>
    <w:next w:val="1"/>
    <w:link w:val="24"/>
    <w:qFormat/>
    <w:uiPriority w:val="99"/>
    <w:pPr>
      <w:autoSpaceDE w:val="0"/>
      <w:autoSpaceDN w:val="0"/>
      <w:spacing w:line="580" w:lineRule="exact"/>
      <w:ind w:firstLine="643" w:firstLineChars="200"/>
      <w:outlineLvl w:val="1"/>
    </w:pPr>
    <w:rPr>
      <w:rFonts w:ascii="楷体_GB2312" w:hAnsi="楷体_GB2312" w:eastAsia="楷体_GB2312" w:cs="楷体_GB2312"/>
      <w:b/>
      <w:bCs/>
      <w:szCs w:val="32"/>
    </w:rPr>
  </w:style>
  <w:style w:type="paragraph" w:styleId="5">
    <w:name w:val="heading 3"/>
    <w:basedOn w:val="1"/>
    <w:next w:val="1"/>
    <w:link w:val="25"/>
    <w:qFormat/>
    <w:uiPriority w:val="99"/>
    <w:pPr>
      <w:tabs>
        <w:tab w:val="left" w:pos="312"/>
      </w:tabs>
      <w:autoSpaceDE w:val="0"/>
      <w:autoSpaceDN w:val="0"/>
      <w:spacing w:line="580" w:lineRule="exact"/>
      <w:ind w:firstLine="643" w:firstLineChars="200"/>
      <w:outlineLvl w:val="2"/>
    </w:pPr>
    <w:rPr>
      <w:rFonts w:ascii="仿宋_GB2312" w:hAnsi="仿宋_GB2312" w:cs="仿宋_GB2312"/>
      <w:b/>
      <w:bCs/>
      <w:szCs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1"/>
    <w:qFormat/>
    <w:uiPriority w:val="99"/>
    <w:pPr>
      <w:ind w:firstLine="420"/>
    </w:pPr>
  </w:style>
  <w:style w:type="paragraph" w:styleId="6">
    <w:name w:val="Document Map"/>
    <w:basedOn w:val="1"/>
    <w:link w:val="26"/>
    <w:semiHidden/>
    <w:qFormat/>
    <w:uiPriority w:val="99"/>
    <w:rPr>
      <w:rFonts w:ascii="宋体" w:eastAsia="宋体" w:cs="Times New Roman"/>
      <w:sz w:val="18"/>
      <w:szCs w:val="18"/>
    </w:rPr>
  </w:style>
  <w:style w:type="paragraph" w:styleId="7">
    <w:name w:val="annotation text"/>
    <w:basedOn w:val="1"/>
    <w:link w:val="27"/>
    <w:semiHidden/>
    <w:qFormat/>
    <w:uiPriority w:val="99"/>
    <w:pPr>
      <w:jc w:val="left"/>
    </w:pPr>
    <w:rPr>
      <w:rFonts w:cs="Times New Roman"/>
    </w:rPr>
  </w:style>
  <w:style w:type="paragraph" w:styleId="8">
    <w:name w:val="Body Text"/>
    <w:basedOn w:val="1"/>
    <w:link w:val="28"/>
    <w:qFormat/>
    <w:uiPriority w:val="99"/>
    <w:pPr>
      <w:ind w:left="687"/>
    </w:pPr>
    <w:rPr>
      <w:rFonts w:ascii="宋体" w:hAnsi="宋体" w:eastAsia="宋体"/>
      <w:szCs w:val="32"/>
    </w:rPr>
  </w:style>
  <w:style w:type="paragraph" w:styleId="9">
    <w:name w:val="Date"/>
    <w:basedOn w:val="1"/>
    <w:next w:val="1"/>
    <w:link w:val="29"/>
    <w:qFormat/>
    <w:uiPriority w:val="99"/>
    <w:pPr>
      <w:widowControl/>
      <w:spacing w:line="240" w:lineRule="auto"/>
      <w:jc w:val="left"/>
    </w:pPr>
    <w:rPr>
      <w:rFonts w:ascii="仿宋_GB2312" w:eastAsia="宋体" w:cs="Times New Roman"/>
      <w:kern w:val="0"/>
      <w:sz w:val="20"/>
    </w:rPr>
  </w:style>
  <w:style w:type="paragraph" w:styleId="10">
    <w:name w:val="Balloon Text"/>
    <w:basedOn w:val="1"/>
    <w:link w:val="30"/>
    <w:semiHidden/>
    <w:qFormat/>
    <w:uiPriority w:val="99"/>
    <w:rPr>
      <w:rFonts w:eastAsia="宋体"/>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3">
    <w:name w:val="Subtitle"/>
    <w:basedOn w:val="4"/>
    <w:next w:val="1"/>
    <w:link w:val="33"/>
    <w:qFormat/>
    <w:uiPriority w:val="99"/>
    <w:pPr>
      <w:ind w:firstLine="0" w:firstLineChars="0"/>
      <w:jc w:val="center"/>
    </w:p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5">
    <w:name w:val="Title"/>
    <w:basedOn w:val="1"/>
    <w:next w:val="1"/>
    <w:link w:val="34"/>
    <w:qFormat/>
    <w:uiPriority w:val="99"/>
    <w:pPr>
      <w:autoSpaceDE w:val="0"/>
      <w:autoSpaceDN w:val="0"/>
      <w:adjustRightInd w:val="0"/>
      <w:spacing w:line="580" w:lineRule="exact"/>
      <w:jc w:val="center"/>
    </w:pPr>
    <w:rPr>
      <w:rFonts w:ascii="宋体" w:hAnsi="宋体" w:eastAsia="宋体" w:cs="Times New Roman"/>
      <w:b/>
      <w:bCs/>
      <w:kern w:val="0"/>
      <w:sz w:val="44"/>
      <w:szCs w:val="44"/>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ascii="楷体_GB2312" w:eastAsia="楷体_GB2312" w:cs="Times New Roman"/>
      <w:b/>
      <w:bCs/>
    </w:rPr>
  </w:style>
  <w:style w:type="character" w:styleId="20">
    <w:name w:val="page number"/>
    <w:basedOn w:val="18"/>
    <w:qFormat/>
    <w:uiPriority w:val="99"/>
    <w:rPr>
      <w:rFonts w:cs="Times New Roman"/>
    </w:rPr>
  </w:style>
  <w:style w:type="character" w:styleId="21">
    <w:name w:val="line number"/>
    <w:basedOn w:val="18"/>
    <w:qFormat/>
    <w:uiPriority w:val="99"/>
    <w:rPr>
      <w:rFonts w:cs="Times New Roman"/>
    </w:rPr>
  </w:style>
  <w:style w:type="character" w:styleId="22">
    <w:name w:val="annotation reference"/>
    <w:basedOn w:val="18"/>
    <w:semiHidden/>
    <w:qFormat/>
    <w:uiPriority w:val="99"/>
    <w:rPr>
      <w:rFonts w:cs="Times New Roman"/>
      <w:sz w:val="21"/>
      <w:szCs w:val="21"/>
    </w:rPr>
  </w:style>
  <w:style w:type="character" w:customStyle="1" w:styleId="23">
    <w:name w:val="Heading 1 Char"/>
    <w:basedOn w:val="18"/>
    <w:link w:val="3"/>
    <w:qFormat/>
    <w:locked/>
    <w:uiPriority w:val="99"/>
    <w:rPr>
      <w:rFonts w:ascii="黑体" w:hAnsi="黑体" w:eastAsia="黑体" w:cs="AdobeHeitiStd-Regular"/>
      <w:b/>
      <w:bCs/>
      <w:sz w:val="32"/>
      <w:szCs w:val="32"/>
    </w:rPr>
  </w:style>
  <w:style w:type="character" w:customStyle="1" w:styleId="24">
    <w:name w:val="Heading 2 Char"/>
    <w:basedOn w:val="18"/>
    <w:link w:val="4"/>
    <w:qFormat/>
    <w:locked/>
    <w:uiPriority w:val="99"/>
    <w:rPr>
      <w:rFonts w:ascii="楷体_GB2312" w:hAnsi="楷体_GB2312" w:eastAsia="楷体_GB2312" w:cs="楷体_GB2312"/>
      <w:b/>
      <w:bCs/>
      <w:kern w:val="2"/>
      <w:sz w:val="32"/>
      <w:szCs w:val="32"/>
    </w:rPr>
  </w:style>
  <w:style w:type="character" w:customStyle="1" w:styleId="25">
    <w:name w:val="Heading 3 Char"/>
    <w:basedOn w:val="18"/>
    <w:link w:val="5"/>
    <w:qFormat/>
    <w:locked/>
    <w:uiPriority w:val="99"/>
    <w:rPr>
      <w:rFonts w:ascii="仿宋_GB2312" w:hAnsi="仿宋_GB2312" w:eastAsia="仿宋_GB2312" w:cs="仿宋_GB2312"/>
      <w:b/>
      <w:bCs/>
      <w:kern w:val="2"/>
      <w:sz w:val="32"/>
      <w:szCs w:val="32"/>
    </w:rPr>
  </w:style>
  <w:style w:type="character" w:customStyle="1" w:styleId="26">
    <w:name w:val="Document Map Char"/>
    <w:basedOn w:val="18"/>
    <w:link w:val="6"/>
    <w:qFormat/>
    <w:locked/>
    <w:uiPriority w:val="99"/>
    <w:rPr>
      <w:rFonts w:ascii="宋体" w:cs="Times New Roman"/>
      <w:kern w:val="2"/>
      <w:sz w:val="18"/>
      <w:szCs w:val="18"/>
    </w:rPr>
  </w:style>
  <w:style w:type="character" w:customStyle="1" w:styleId="27">
    <w:name w:val="Comment Text Char"/>
    <w:basedOn w:val="18"/>
    <w:link w:val="7"/>
    <w:qFormat/>
    <w:locked/>
    <w:uiPriority w:val="99"/>
    <w:rPr>
      <w:rFonts w:eastAsia="仿宋_GB2312" w:cs="Times New Roman"/>
      <w:kern w:val="2"/>
      <w:sz w:val="32"/>
    </w:rPr>
  </w:style>
  <w:style w:type="character" w:customStyle="1" w:styleId="28">
    <w:name w:val="Body Text Char"/>
    <w:basedOn w:val="18"/>
    <w:link w:val="8"/>
    <w:semiHidden/>
    <w:qFormat/>
    <w:locked/>
    <w:uiPriority w:val="99"/>
    <w:rPr>
      <w:rFonts w:eastAsia="仿宋_GB2312" w:cs="宋体"/>
      <w:sz w:val="20"/>
      <w:szCs w:val="20"/>
    </w:rPr>
  </w:style>
  <w:style w:type="character" w:customStyle="1" w:styleId="29">
    <w:name w:val="Date Char"/>
    <w:basedOn w:val="18"/>
    <w:link w:val="9"/>
    <w:qFormat/>
    <w:locked/>
    <w:uiPriority w:val="99"/>
    <w:rPr>
      <w:rFonts w:ascii="仿宋_GB2312" w:cs="Times New Roman"/>
      <w:lang w:val="en-US" w:eastAsia="zh-CN" w:bidi="ar-SA"/>
    </w:rPr>
  </w:style>
  <w:style w:type="character" w:customStyle="1" w:styleId="30">
    <w:name w:val="Balloon Text Char"/>
    <w:basedOn w:val="18"/>
    <w:link w:val="10"/>
    <w:qFormat/>
    <w:locked/>
    <w:uiPriority w:val="99"/>
    <w:rPr>
      <w:rFonts w:cs="宋体"/>
      <w:kern w:val="2"/>
      <w:sz w:val="18"/>
      <w:szCs w:val="18"/>
    </w:rPr>
  </w:style>
  <w:style w:type="character" w:customStyle="1" w:styleId="31">
    <w:name w:val="Footer Char"/>
    <w:basedOn w:val="18"/>
    <w:link w:val="11"/>
    <w:qFormat/>
    <w:locked/>
    <w:uiPriority w:val="99"/>
    <w:rPr>
      <w:rFonts w:eastAsia="仿宋_GB2312" w:cs="宋体"/>
      <w:kern w:val="2"/>
      <w:sz w:val="18"/>
      <w:szCs w:val="18"/>
    </w:rPr>
  </w:style>
  <w:style w:type="character" w:customStyle="1" w:styleId="32">
    <w:name w:val="Header Char"/>
    <w:basedOn w:val="18"/>
    <w:link w:val="12"/>
    <w:qFormat/>
    <w:locked/>
    <w:uiPriority w:val="99"/>
    <w:rPr>
      <w:rFonts w:cs="宋体"/>
      <w:kern w:val="2"/>
      <w:sz w:val="18"/>
      <w:szCs w:val="18"/>
    </w:rPr>
  </w:style>
  <w:style w:type="character" w:customStyle="1" w:styleId="33">
    <w:name w:val="Subtitle Char"/>
    <w:basedOn w:val="18"/>
    <w:link w:val="13"/>
    <w:qFormat/>
    <w:locked/>
    <w:uiPriority w:val="99"/>
    <w:rPr>
      <w:rFonts w:ascii="楷体_GB2312" w:hAnsi="楷体_GB2312" w:eastAsia="楷体_GB2312" w:cs="楷体_GB2312"/>
      <w:b/>
      <w:bCs/>
      <w:kern w:val="2"/>
      <w:sz w:val="32"/>
      <w:szCs w:val="32"/>
    </w:rPr>
  </w:style>
  <w:style w:type="character" w:customStyle="1" w:styleId="34">
    <w:name w:val="Title Char"/>
    <w:basedOn w:val="18"/>
    <w:link w:val="15"/>
    <w:qFormat/>
    <w:locked/>
    <w:uiPriority w:val="99"/>
    <w:rPr>
      <w:rFonts w:ascii="宋体" w:eastAsia="宋体" w:cs="Times New Roman"/>
      <w:b/>
      <w:bCs/>
      <w:sz w:val="44"/>
      <w:szCs w:val="44"/>
    </w:rPr>
  </w:style>
  <w:style w:type="paragraph" w:customStyle="1" w:styleId="35">
    <w:name w:val="Other|1"/>
    <w:basedOn w:val="1"/>
    <w:qFormat/>
    <w:uiPriority w:val="99"/>
    <w:pPr>
      <w:spacing w:line="394" w:lineRule="auto"/>
      <w:ind w:firstLine="400"/>
    </w:pPr>
    <w:rPr>
      <w:rFonts w:ascii="宋体" w:hAnsi="宋体" w:eastAsia="宋体"/>
      <w:sz w:val="30"/>
      <w:szCs w:val="30"/>
      <w:lang w:val="zh-TW" w:eastAsia="zh-TW"/>
    </w:rPr>
  </w:style>
  <w:style w:type="paragraph" w:customStyle="1" w:styleId="36">
    <w:name w:val="Table caption|1"/>
    <w:basedOn w:val="1"/>
    <w:qFormat/>
    <w:uiPriority w:val="99"/>
    <w:pPr>
      <w:spacing w:line="562" w:lineRule="exact"/>
      <w:ind w:firstLine="620"/>
    </w:pPr>
    <w:rPr>
      <w:rFonts w:ascii="宋体" w:hAnsi="宋体" w:eastAsia="宋体"/>
      <w:sz w:val="30"/>
      <w:szCs w:val="30"/>
      <w:lang w:val="zh-TW" w:eastAsia="zh-TW"/>
    </w:rPr>
  </w:style>
  <w:style w:type="paragraph" w:customStyle="1" w:styleId="37">
    <w:name w:val="Body text|1"/>
    <w:basedOn w:val="1"/>
    <w:qFormat/>
    <w:uiPriority w:val="99"/>
    <w:pPr>
      <w:spacing w:line="394" w:lineRule="auto"/>
      <w:ind w:firstLine="400"/>
    </w:pPr>
    <w:rPr>
      <w:rFonts w:ascii="宋体" w:hAnsi="宋体" w:eastAsia="宋体"/>
      <w:sz w:val="30"/>
      <w:szCs w:val="30"/>
      <w:lang w:val="zh-TW" w:eastAsia="zh-TW"/>
    </w:rPr>
  </w:style>
  <w:style w:type="paragraph" w:customStyle="1" w:styleId="38">
    <w:name w:val="Header or footer|2"/>
    <w:basedOn w:val="1"/>
    <w:qFormat/>
    <w:uiPriority w:val="99"/>
    <w:rPr>
      <w:sz w:val="20"/>
      <w:lang w:val="zh-TW" w:eastAsia="zh-TW"/>
    </w:rPr>
  </w:style>
  <w:style w:type="paragraph" w:styleId="39">
    <w:name w:val="List Paragraph"/>
    <w:basedOn w:val="1"/>
    <w:link w:val="56"/>
    <w:qFormat/>
    <w:uiPriority w:val="99"/>
    <w:pPr>
      <w:ind w:firstLine="420" w:firstLineChars="200"/>
    </w:pPr>
  </w:style>
  <w:style w:type="paragraph" w:customStyle="1" w:styleId="40">
    <w:name w:val="Other|2"/>
    <w:basedOn w:val="1"/>
    <w:qFormat/>
    <w:uiPriority w:val="99"/>
    <w:pPr>
      <w:spacing w:before="160"/>
    </w:pPr>
    <w:rPr>
      <w:rFonts w:ascii="宋体" w:hAnsi="宋体" w:eastAsia="宋体"/>
      <w:sz w:val="18"/>
      <w:szCs w:val="18"/>
      <w:u w:val="single"/>
    </w:rPr>
  </w:style>
  <w:style w:type="paragraph" w:customStyle="1" w:styleId="41">
    <w:name w:val="正文文本1"/>
    <w:basedOn w:val="42"/>
    <w:qFormat/>
    <w:uiPriority w:val="99"/>
    <w:pPr>
      <w:spacing w:before="27"/>
      <w:ind w:left="106"/>
    </w:pPr>
    <w:rPr>
      <w:rFonts w:ascii="方正仿宋_GBK" w:hAnsi="方正仿宋_GBK" w:eastAsia="方正仿宋_GBK"/>
      <w:sz w:val="32"/>
      <w:szCs w:val="32"/>
    </w:rPr>
  </w:style>
  <w:style w:type="paragraph" w:customStyle="1" w:styleId="42">
    <w:name w:val="正文1"/>
    <w:next w:val="43"/>
    <w:qFormat/>
    <w:uiPriority w:val="99"/>
    <w:pPr>
      <w:widowControl w:val="0"/>
    </w:pPr>
    <w:rPr>
      <w:rFonts w:ascii="Calibri" w:hAnsi="Calibri" w:eastAsia="宋体" w:cs="宋体"/>
      <w:kern w:val="0"/>
      <w:sz w:val="22"/>
      <w:szCs w:val="22"/>
      <w:lang w:val="en-US" w:eastAsia="en-US" w:bidi="ar-SA"/>
    </w:rPr>
  </w:style>
  <w:style w:type="paragraph" w:customStyle="1" w:styleId="43">
    <w:name w:val="标题 31"/>
    <w:basedOn w:val="42"/>
    <w:next w:val="42"/>
    <w:qFormat/>
    <w:uiPriority w:val="99"/>
    <w:pPr>
      <w:keepNext/>
      <w:keepLines/>
      <w:spacing w:before="260" w:after="260" w:line="408" w:lineRule="auto"/>
      <w:outlineLvl w:val="2"/>
    </w:pPr>
    <w:rPr>
      <w:b/>
      <w:sz w:val="32"/>
    </w:rPr>
  </w:style>
  <w:style w:type="character" w:customStyle="1" w:styleId="44">
    <w:name w:val="文档结构图 Char"/>
    <w:basedOn w:val="18"/>
    <w:qFormat/>
    <w:uiPriority w:val="99"/>
    <w:rPr>
      <w:rFonts w:ascii="宋体" w:cs="Times New Roman"/>
      <w:kern w:val="2"/>
      <w:sz w:val="18"/>
      <w:szCs w:val="18"/>
    </w:rPr>
  </w:style>
  <w:style w:type="paragraph" w:customStyle="1" w:styleId="45">
    <w:name w:val="msolistparagraph"/>
    <w:basedOn w:val="1"/>
    <w:qFormat/>
    <w:uiPriority w:val="99"/>
    <w:pPr>
      <w:ind w:firstLine="420" w:firstLineChars="200"/>
    </w:pPr>
    <w:rPr>
      <w:rFonts w:ascii="等线" w:hAnsi="等线" w:eastAsia="等线"/>
      <w:szCs w:val="22"/>
    </w:rPr>
  </w:style>
  <w:style w:type="character" w:customStyle="1" w:styleId="46">
    <w:name w:val="NormalCharacter"/>
    <w:qFormat/>
    <w:uiPriority w:val="99"/>
  </w:style>
  <w:style w:type="paragraph" w:customStyle="1" w:styleId="47">
    <w:name w:val="z正文"/>
    <w:basedOn w:val="1"/>
    <w:link w:val="48"/>
    <w:qFormat/>
    <w:uiPriority w:val="99"/>
    <w:pPr>
      <w:spacing w:line="580" w:lineRule="exact"/>
      <w:ind w:firstLine="640" w:firstLineChars="200"/>
    </w:pPr>
    <w:rPr>
      <w:rFonts w:ascii="仿宋_GB2312"/>
      <w:color w:val="000000"/>
      <w:szCs w:val="32"/>
    </w:rPr>
  </w:style>
  <w:style w:type="character" w:customStyle="1" w:styleId="48">
    <w:name w:val="z正文 字符"/>
    <w:basedOn w:val="18"/>
    <w:link w:val="47"/>
    <w:qFormat/>
    <w:locked/>
    <w:uiPriority w:val="99"/>
    <w:rPr>
      <w:rFonts w:ascii="仿宋_GB2312" w:eastAsia="仿宋_GB2312" w:cs="宋体"/>
      <w:color w:val="000000"/>
      <w:kern w:val="2"/>
      <w:sz w:val="32"/>
      <w:szCs w:val="32"/>
    </w:rPr>
  </w:style>
  <w:style w:type="paragraph" w:customStyle="1" w:styleId="49">
    <w:name w:val="z附件标题"/>
    <w:basedOn w:val="2"/>
    <w:link w:val="50"/>
    <w:qFormat/>
    <w:uiPriority w:val="99"/>
    <w:pPr>
      <w:spacing w:afterLines="100" w:line="580" w:lineRule="exact"/>
      <w:ind w:firstLine="0"/>
      <w:jc w:val="center"/>
    </w:pPr>
    <w:rPr>
      <w:rFonts w:ascii="宋体" w:hAnsi="宋体"/>
      <w:b/>
      <w:bCs/>
      <w:sz w:val="44"/>
      <w:szCs w:val="44"/>
    </w:rPr>
  </w:style>
  <w:style w:type="character" w:customStyle="1" w:styleId="50">
    <w:name w:val="z附件标题 字符"/>
    <w:basedOn w:val="51"/>
    <w:link w:val="49"/>
    <w:qFormat/>
    <w:locked/>
    <w:uiPriority w:val="99"/>
    <w:rPr>
      <w:rFonts w:ascii="宋体" w:hAnsi="宋体"/>
      <w:b/>
      <w:bCs/>
      <w:sz w:val="44"/>
      <w:szCs w:val="44"/>
    </w:rPr>
  </w:style>
  <w:style w:type="character" w:customStyle="1" w:styleId="51">
    <w:name w:val="Normal Indent Char"/>
    <w:basedOn w:val="18"/>
    <w:link w:val="2"/>
    <w:qFormat/>
    <w:locked/>
    <w:uiPriority w:val="99"/>
    <w:rPr>
      <w:rFonts w:eastAsia="仿宋_GB2312" w:cs="宋体"/>
      <w:kern w:val="2"/>
      <w:sz w:val="32"/>
    </w:rPr>
  </w:style>
  <w:style w:type="paragraph" w:customStyle="1" w:styleId="52">
    <w:name w:val="z表格1"/>
    <w:basedOn w:val="1"/>
    <w:link w:val="53"/>
    <w:qFormat/>
    <w:uiPriority w:val="99"/>
    <w:pPr>
      <w:widowControl/>
    </w:pPr>
    <w:rPr>
      <w:rFonts w:ascii="宋体" w:hAnsi="宋体" w:eastAsia="宋体"/>
      <w:kern w:val="0"/>
      <w:sz w:val="24"/>
      <w:szCs w:val="24"/>
    </w:rPr>
  </w:style>
  <w:style w:type="character" w:customStyle="1" w:styleId="53">
    <w:name w:val="z表格1 字符"/>
    <w:basedOn w:val="18"/>
    <w:link w:val="52"/>
    <w:qFormat/>
    <w:locked/>
    <w:uiPriority w:val="99"/>
    <w:rPr>
      <w:rFonts w:ascii="宋体" w:eastAsia="宋体" w:cs="宋体"/>
      <w:sz w:val="24"/>
      <w:szCs w:val="24"/>
    </w:rPr>
  </w:style>
  <w:style w:type="paragraph" w:customStyle="1" w:styleId="54">
    <w:name w:val="点编号 1."/>
    <w:basedOn w:val="39"/>
    <w:link w:val="55"/>
    <w:qFormat/>
    <w:uiPriority w:val="99"/>
    <w:pPr>
      <w:numPr>
        <w:ilvl w:val="0"/>
        <w:numId w:val="1"/>
      </w:numPr>
      <w:snapToGrid w:val="0"/>
      <w:spacing w:line="312" w:lineRule="auto"/>
      <w:ind w:firstLine="640"/>
    </w:pPr>
  </w:style>
  <w:style w:type="character" w:customStyle="1" w:styleId="55">
    <w:name w:val="点编号 1. 字符"/>
    <w:basedOn w:val="56"/>
    <w:link w:val="54"/>
    <w:qFormat/>
    <w:locked/>
    <w:uiPriority w:val="99"/>
  </w:style>
  <w:style w:type="character" w:customStyle="1" w:styleId="56">
    <w:name w:val="List Paragraph Char"/>
    <w:basedOn w:val="18"/>
    <w:link w:val="39"/>
    <w:qFormat/>
    <w:locked/>
    <w:uiPriority w:val="99"/>
    <w:rPr>
      <w:rFonts w:eastAsia="仿宋_GB2312" w:cs="宋体"/>
      <w:kern w:val="2"/>
      <w:sz w:val="32"/>
    </w:rPr>
  </w:style>
  <w:style w:type="paragraph" w:customStyle="1" w:styleId="57">
    <w:name w:val="编号 1、 顿号"/>
    <w:basedOn w:val="1"/>
    <w:link w:val="58"/>
    <w:qFormat/>
    <w:uiPriority w:val="99"/>
    <w:pPr>
      <w:numPr>
        <w:ilvl w:val="0"/>
        <w:numId w:val="2"/>
      </w:numPr>
      <w:tabs>
        <w:tab w:val="left" w:pos="720"/>
      </w:tabs>
      <w:snapToGrid w:val="0"/>
      <w:spacing w:line="312" w:lineRule="auto"/>
      <w:ind w:left="1720" w:firstLine="640"/>
    </w:pPr>
    <w:rPr>
      <w:rFonts w:ascii="仿宋_GB2312" w:hAnsi="仿宋"/>
      <w:kern w:val="0"/>
      <w:szCs w:val="32"/>
    </w:rPr>
  </w:style>
  <w:style w:type="character" w:customStyle="1" w:styleId="58">
    <w:name w:val="编号 1、 顿号 字符"/>
    <w:basedOn w:val="18"/>
    <w:link w:val="57"/>
    <w:qFormat/>
    <w:locked/>
    <w:uiPriority w:val="99"/>
    <w:rPr>
      <w:rFonts w:ascii="仿宋_GB2312" w:hAnsi="仿宋" w:eastAsia="仿宋_GB2312" w:cs="宋体"/>
      <w:sz w:val="32"/>
      <w:szCs w:val="32"/>
    </w:rPr>
  </w:style>
  <w:style w:type="character" w:customStyle="1" w:styleId="59">
    <w:name w:val="font01"/>
    <w:basedOn w:val="18"/>
    <w:qFormat/>
    <w:uiPriority w:val="0"/>
    <w:rPr>
      <w:rFonts w:hint="eastAsia" w:ascii="仿宋_GB2312" w:eastAsia="仿宋_GB2312" w:cs="仿宋_GB2312"/>
      <w:color w:val="000000"/>
      <w:sz w:val="32"/>
      <w:szCs w:val="32"/>
      <w:u w:val="none"/>
    </w:rPr>
  </w:style>
  <w:style w:type="character" w:customStyle="1" w:styleId="60">
    <w:name w:val="font11"/>
    <w:basedOn w:val="18"/>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abc</Company>
  <Pages>8</Pages>
  <Words>496</Words>
  <Characters>2831</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2023-03-19T20:30:00Z</dcterms:created>
  <dc:creator>pc</dc:creator>
  <cp:lastModifiedBy>xmadmin</cp:lastModifiedBy>
  <cp:lastPrinted>2023-04-19T03:57:00Z</cp:lastPrinted>
  <dcterms:modified xsi:type="dcterms:W3CDTF">2023-04-17T18:38:18Z</dcterms:modified>
  <dc:title>特　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51073C7712694A969534344F495D839D</vt:lpwstr>
  </property>
</Properties>
</file>