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2B2B2B"/>
          <w:shd w:val="clear" w:color="auto" w:fill="FFFFFF"/>
        </w:rPr>
      </w:pPr>
    </w:p>
    <w:p>
      <w:pPr>
        <w:rPr>
          <w:b/>
          <w:sz w:val="40"/>
          <w:szCs w:val="36"/>
        </w:rPr>
      </w:pPr>
    </w:p>
    <w:p>
      <w:pPr>
        <w:rPr>
          <w:b/>
          <w:sz w:val="40"/>
          <w:szCs w:val="36"/>
        </w:rPr>
      </w:pPr>
    </w:p>
    <w:p>
      <w:pPr>
        <w:rPr>
          <w:b/>
          <w:sz w:val="40"/>
          <w:szCs w:val="36"/>
        </w:rPr>
      </w:pPr>
    </w:p>
    <w:p>
      <w:pPr>
        <w:rPr>
          <w:b/>
          <w:sz w:val="40"/>
          <w:szCs w:val="36"/>
        </w:rPr>
      </w:pPr>
    </w:p>
    <w:p>
      <w:pPr>
        <w:spacing w:line="480" w:lineRule="auto"/>
        <w:jc w:val="center"/>
        <w:rPr>
          <w:rFonts w:ascii="Times New Roman" w:hAnsi="Times New Roman" w:eastAsia="方正小标宋简体"/>
          <w:sz w:val="44"/>
          <w:szCs w:val="44"/>
        </w:rPr>
      </w:pPr>
      <w:r>
        <w:rPr>
          <w:rFonts w:hint="eastAsia" w:ascii="Times New Roman" w:hAnsi="Times New Roman" w:eastAsia="方正小标宋简体"/>
          <w:sz w:val="44"/>
          <w:szCs w:val="44"/>
        </w:rPr>
        <w:t>厦门市“十四五”生态文明建设规划</w:t>
      </w:r>
    </w:p>
    <w:p>
      <w:pPr>
        <w:spacing w:line="480" w:lineRule="auto"/>
        <w:jc w:val="center"/>
        <w:rPr>
          <w:rFonts w:ascii="Times New Roman" w:hAnsi="Times New Roman" w:eastAsia="方正小标宋简体"/>
          <w:sz w:val="44"/>
          <w:szCs w:val="44"/>
        </w:rPr>
      </w:pPr>
    </w:p>
    <w:p>
      <w:pPr>
        <w:spacing w:line="480" w:lineRule="auto"/>
        <w:jc w:val="center"/>
        <w:rPr>
          <w:rFonts w:ascii="Times New Roman" w:hAnsi="Times New Roman" w:eastAsia="方正小标宋简体"/>
          <w:sz w:val="44"/>
          <w:szCs w:val="44"/>
        </w:rPr>
      </w:pPr>
      <w:r>
        <w:rPr>
          <w:rFonts w:hint="eastAsia" w:ascii="Times New Roman" w:hAnsi="Times New Roman" w:eastAsia="方正小标宋简体"/>
          <w:sz w:val="44"/>
          <w:szCs w:val="44"/>
        </w:rPr>
        <w:t>（</w:t>
      </w:r>
      <w:r>
        <w:rPr>
          <w:rFonts w:hint="eastAsia" w:ascii="Times New Roman" w:hAnsi="Times New Roman" w:eastAsia="方正小标宋简体"/>
          <w:sz w:val="44"/>
          <w:szCs w:val="44"/>
          <w:lang w:eastAsia="zh-CN"/>
        </w:rPr>
        <w:t>公开征求意见稿</w:t>
      </w:r>
      <w:r>
        <w:rPr>
          <w:rFonts w:hint="eastAsia" w:ascii="Times New Roman" w:hAnsi="Times New Roman" w:eastAsia="方正小标宋简体"/>
          <w:sz w:val="44"/>
          <w:szCs w:val="44"/>
        </w:rPr>
        <w:t>）</w:t>
      </w:r>
    </w:p>
    <w:p>
      <w:pPr>
        <w:spacing w:line="480" w:lineRule="auto"/>
        <w:jc w:val="center"/>
        <w:rPr>
          <w:rFonts w:ascii="Times New Roman" w:hAnsi="Times New Roman" w:eastAsia="方正小标宋简体"/>
          <w:sz w:val="40"/>
          <w:szCs w:val="40"/>
        </w:rPr>
      </w:pPr>
    </w:p>
    <w:p>
      <w:pPr>
        <w:spacing w:line="480" w:lineRule="auto"/>
        <w:jc w:val="center"/>
        <w:rPr>
          <w:rFonts w:ascii="Times New Roman" w:hAnsi="Times New Roman" w:eastAsia="方正小标宋简体"/>
          <w:sz w:val="40"/>
          <w:szCs w:val="40"/>
        </w:rPr>
      </w:pPr>
    </w:p>
    <w:p>
      <w:pPr>
        <w:spacing w:line="480" w:lineRule="auto"/>
        <w:jc w:val="center"/>
        <w:rPr>
          <w:rFonts w:ascii="Times New Roman" w:hAnsi="Times New Roman" w:eastAsia="方正小标宋简体"/>
          <w:sz w:val="40"/>
          <w:szCs w:val="40"/>
        </w:rPr>
      </w:pPr>
    </w:p>
    <w:p>
      <w:pPr>
        <w:spacing w:line="480" w:lineRule="auto"/>
        <w:jc w:val="center"/>
        <w:rPr>
          <w:rFonts w:ascii="Times New Roman" w:hAnsi="Times New Roman" w:eastAsia="方正小标宋简体"/>
          <w:sz w:val="40"/>
          <w:szCs w:val="40"/>
        </w:rPr>
      </w:pPr>
    </w:p>
    <w:p>
      <w:pPr>
        <w:spacing w:line="480" w:lineRule="auto"/>
        <w:rPr>
          <w:rFonts w:ascii="Times New Roman" w:hAnsi="Times New Roman" w:eastAsia="方正小标宋简体"/>
          <w:sz w:val="40"/>
          <w:szCs w:val="40"/>
        </w:rPr>
      </w:pPr>
    </w:p>
    <w:p>
      <w:pPr>
        <w:spacing w:line="480" w:lineRule="auto"/>
        <w:jc w:val="center"/>
        <w:rPr>
          <w:rFonts w:ascii="Times New Roman" w:hAnsi="Times New Roman" w:eastAsia="方正小标宋简体"/>
          <w:sz w:val="32"/>
          <w:szCs w:val="32"/>
        </w:rPr>
      </w:pPr>
      <w:r>
        <w:rPr>
          <w:rFonts w:hint="eastAsia" w:ascii="Times New Roman" w:hAnsi="Times New Roman" w:eastAsia="方正小标宋简体"/>
          <w:sz w:val="32"/>
          <w:szCs w:val="32"/>
        </w:rPr>
        <w:t>2</w:t>
      </w:r>
      <w:r>
        <w:rPr>
          <w:rFonts w:ascii="Times New Roman" w:hAnsi="Times New Roman" w:eastAsia="方正小标宋简体"/>
          <w:sz w:val="32"/>
          <w:szCs w:val="32"/>
        </w:rPr>
        <w:t>021</w:t>
      </w:r>
      <w:r>
        <w:rPr>
          <w:rFonts w:hint="eastAsia" w:ascii="Times New Roman" w:hAnsi="Times New Roman" w:eastAsia="方正小标宋简体"/>
          <w:sz w:val="32"/>
          <w:szCs w:val="32"/>
        </w:rPr>
        <w:t>年1</w:t>
      </w:r>
      <w:r>
        <w:rPr>
          <w:rFonts w:hint="eastAsia" w:ascii="Times New Roman" w:hAnsi="Times New Roman" w:eastAsia="方正小标宋简体"/>
          <w:sz w:val="32"/>
          <w:szCs w:val="32"/>
          <w:lang w:val="en-US" w:eastAsia="zh-CN"/>
        </w:rPr>
        <w:t>2</w:t>
      </w:r>
      <w:r>
        <w:rPr>
          <w:rFonts w:hint="eastAsia" w:ascii="Times New Roman" w:hAnsi="Times New Roman" w:eastAsia="方正小标宋简体"/>
          <w:sz w:val="32"/>
          <w:szCs w:val="32"/>
        </w:rPr>
        <w:t>月</w:t>
      </w:r>
    </w:p>
    <w:p>
      <w:pPr>
        <w:pStyle w:val="2"/>
        <w:spacing w:line="360" w:lineRule="auto"/>
        <w:sectPr>
          <w:headerReference r:id="rId5" w:type="default"/>
          <w:footerReference r:id="rId6" w:type="default"/>
          <w:pgSz w:w="11906" w:h="16838"/>
          <w:pgMar w:top="1418" w:right="1134" w:bottom="1134" w:left="1418" w:header="397" w:footer="680" w:gutter="0"/>
          <w:cols w:space="720" w:num="1"/>
          <w:docGrid w:type="lines" w:linePitch="408" w:charSpace="0"/>
        </w:sectPr>
      </w:pPr>
    </w:p>
    <w:p>
      <w:pPr>
        <w:pStyle w:val="44"/>
        <w:spacing w:line="276" w:lineRule="auto"/>
        <w:jc w:val="center"/>
        <w:rPr>
          <w:rFonts w:ascii="黑体" w:hAnsi="黑体" w:eastAsia="黑体"/>
          <w:b/>
          <w:bCs/>
          <w:color w:val="auto"/>
        </w:rPr>
      </w:pPr>
      <w:r>
        <w:rPr>
          <w:rFonts w:ascii="黑体" w:hAnsi="黑体" w:eastAsia="黑体"/>
          <w:b/>
          <w:bCs/>
          <w:color w:val="auto"/>
          <w:lang w:val="zh-CN"/>
        </w:rPr>
        <w:t>目录</w:t>
      </w:r>
    </w:p>
    <w:p>
      <w:pPr>
        <w:pStyle w:val="13"/>
        <w:tabs>
          <w:tab w:val="right" w:leader="dot" w:pos="9344"/>
        </w:tabs>
        <w:rPr>
          <w:rFonts w:ascii="等线" w:hAnsi="等线" w:eastAsia="等线"/>
          <w:sz w:val="21"/>
        </w:rPr>
      </w:pPr>
      <w:r>
        <w:rPr>
          <w:rFonts w:ascii="仿宋" w:hAnsi="仿宋"/>
          <w:sz w:val="28"/>
          <w:szCs w:val="28"/>
          <w:lang w:val="zh-CN"/>
        </w:rPr>
        <w:fldChar w:fldCharType="begin"/>
      </w:r>
      <w:r>
        <w:rPr>
          <w:rFonts w:ascii="仿宋" w:hAnsi="仿宋"/>
          <w:sz w:val="28"/>
          <w:szCs w:val="28"/>
          <w:lang w:val="zh-CN"/>
        </w:rPr>
        <w:instrText xml:space="preserve"> TOC \o "1-3" \h \z \u </w:instrText>
      </w:r>
      <w:r>
        <w:rPr>
          <w:rFonts w:ascii="仿宋" w:hAnsi="仿宋"/>
          <w:sz w:val="28"/>
          <w:szCs w:val="28"/>
          <w:lang w:val="zh-CN"/>
        </w:rPr>
        <w:fldChar w:fldCharType="separate"/>
      </w:r>
      <w:r>
        <w:fldChar w:fldCharType="begin"/>
      </w:r>
      <w:r>
        <w:instrText xml:space="preserve"> HYPERLINK \l "_Toc83204005" </w:instrText>
      </w:r>
      <w:r>
        <w:fldChar w:fldCharType="separate"/>
      </w:r>
      <w:r>
        <w:rPr>
          <w:rStyle w:val="22"/>
          <w:rFonts w:ascii="黑体" w:hAnsi="黑体" w:eastAsia="黑体"/>
        </w:rPr>
        <w:t>前  言</w:t>
      </w:r>
      <w:r>
        <w:tab/>
      </w:r>
      <w:r>
        <w:fldChar w:fldCharType="begin"/>
      </w:r>
      <w:r>
        <w:instrText xml:space="preserve"> PAGEREF _Toc83204005 \h </w:instrText>
      </w:r>
      <w:r>
        <w:fldChar w:fldCharType="separate"/>
      </w:r>
      <w:r>
        <w:t>1</w:t>
      </w:r>
      <w:r>
        <w:fldChar w:fldCharType="end"/>
      </w:r>
      <w:r>
        <w:fldChar w:fldCharType="end"/>
      </w:r>
    </w:p>
    <w:p>
      <w:pPr>
        <w:pStyle w:val="13"/>
        <w:tabs>
          <w:tab w:val="right" w:leader="dot" w:pos="9344"/>
        </w:tabs>
        <w:rPr>
          <w:rFonts w:ascii="等线" w:hAnsi="等线" w:eastAsia="等线"/>
          <w:sz w:val="21"/>
        </w:rPr>
      </w:pPr>
      <w:r>
        <w:fldChar w:fldCharType="begin"/>
      </w:r>
      <w:r>
        <w:instrText xml:space="preserve"> HYPERLINK \l "_Toc83204006" </w:instrText>
      </w:r>
      <w:r>
        <w:fldChar w:fldCharType="separate"/>
      </w:r>
      <w:r>
        <w:rPr>
          <w:rStyle w:val="22"/>
          <w:rFonts w:ascii="黑体" w:hAnsi="黑体" w:eastAsia="黑体" w:cs="Arial"/>
        </w:rPr>
        <w:t>第一章  发展背景</w:t>
      </w:r>
      <w:r>
        <w:tab/>
      </w:r>
      <w:r>
        <w:fldChar w:fldCharType="begin"/>
      </w:r>
      <w:r>
        <w:instrText xml:space="preserve"> PAGEREF _Toc83204006 \h </w:instrText>
      </w:r>
      <w:r>
        <w:fldChar w:fldCharType="separate"/>
      </w:r>
      <w:r>
        <w:t>1</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"_Toc83204007" </w:instrText>
      </w:r>
      <w:r>
        <w:fldChar w:fldCharType="separate"/>
      </w:r>
      <w:r>
        <w:rPr>
          <w:rStyle w:val="22"/>
        </w:rPr>
        <w:t>第一节  发展基础</w:t>
      </w:r>
      <w:r>
        <w:tab/>
      </w:r>
      <w:r>
        <w:fldChar w:fldCharType="begin"/>
      </w:r>
      <w:r>
        <w:instrText xml:space="preserve"> PAGEREF _Toc83204007 \h </w:instrText>
      </w:r>
      <w:r>
        <w:fldChar w:fldCharType="separate"/>
      </w:r>
      <w:r>
        <w:t>2</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"_Toc83204008" </w:instrText>
      </w:r>
      <w:r>
        <w:fldChar w:fldCharType="separate"/>
      </w:r>
      <w:r>
        <w:rPr>
          <w:rStyle w:val="22"/>
        </w:rPr>
        <w:t>第二节  发展环境</w:t>
      </w:r>
      <w:r>
        <w:tab/>
      </w:r>
      <w:r>
        <w:fldChar w:fldCharType="begin"/>
      </w:r>
      <w:r>
        <w:instrText xml:space="preserve"> PAGEREF _Toc83204008 \h </w:instrText>
      </w:r>
      <w:r>
        <w:fldChar w:fldCharType="separate"/>
      </w:r>
      <w:r>
        <w:t>5</w:t>
      </w:r>
      <w:r>
        <w:fldChar w:fldCharType="end"/>
      </w:r>
      <w:r>
        <w:fldChar w:fldCharType="end"/>
      </w:r>
    </w:p>
    <w:p>
      <w:pPr>
        <w:pStyle w:val="13"/>
        <w:tabs>
          <w:tab w:val="right" w:leader="dot" w:pos="9344"/>
        </w:tabs>
        <w:rPr>
          <w:rFonts w:ascii="等线" w:hAnsi="等线" w:eastAsia="等线"/>
          <w:sz w:val="21"/>
        </w:rPr>
      </w:pPr>
      <w:r>
        <w:fldChar w:fldCharType="begin"/>
      </w:r>
      <w:r>
        <w:instrText xml:space="preserve"> HYPERLINK \l "_Toc83204009" </w:instrText>
      </w:r>
      <w:r>
        <w:fldChar w:fldCharType="separate"/>
      </w:r>
      <w:r>
        <w:rPr>
          <w:rStyle w:val="22"/>
          <w:rFonts w:ascii="黑体" w:hAnsi="黑体" w:eastAsia="黑体" w:cs="Arial"/>
        </w:rPr>
        <w:t>第二章  总体要求</w:t>
      </w:r>
      <w:r>
        <w:tab/>
      </w:r>
      <w:r>
        <w:fldChar w:fldCharType="begin"/>
      </w:r>
      <w:r>
        <w:instrText xml:space="preserve"> PAGEREF _Toc83204009 \h </w:instrText>
      </w:r>
      <w:r>
        <w:fldChar w:fldCharType="separate"/>
      </w:r>
      <w:r>
        <w:t>7</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"_Toc83204010" </w:instrText>
      </w:r>
      <w:r>
        <w:fldChar w:fldCharType="separate"/>
      </w:r>
      <w:r>
        <w:rPr>
          <w:rStyle w:val="22"/>
        </w:rPr>
        <w:t>第一节  指导思想</w:t>
      </w:r>
      <w:r>
        <w:tab/>
      </w:r>
      <w:r>
        <w:fldChar w:fldCharType="begin"/>
      </w:r>
      <w:r>
        <w:instrText xml:space="preserve"> PAGEREF _Toc83204010 \h </w:instrText>
      </w:r>
      <w:r>
        <w:fldChar w:fldCharType="separate"/>
      </w:r>
      <w:r>
        <w:t>7</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"_Toc83204011" </w:instrText>
      </w:r>
      <w:r>
        <w:fldChar w:fldCharType="separate"/>
      </w:r>
      <w:r>
        <w:rPr>
          <w:rStyle w:val="22"/>
        </w:rPr>
        <w:t>第二节  基本原则</w:t>
      </w:r>
      <w:r>
        <w:tab/>
      </w:r>
      <w:r>
        <w:fldChar w:fldCharType="begin"/>
      </w:r>
      <w:r>
        <w:instrText xml:space="preserve"> PAGEREF _Toc83204011 \h </w:instrText>
      </w:r>
      <w:r>
        <w:fldChar w:fldCharType="separate"/>
      </w:r>
      <w:r>
        <w:t>8</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"_Toc83204012" </w:instrText>
      </w:r>
      <w:r>
        <w:fldChar w:fldCharType="separate"/>
      </w:r>
      <w:r>
        <w:rPr>
          <w:rStyle w:val="22"/>
        </w:rPr>
        <w:t>第三节  发展目标</w:t>
      </w:r>
      <w:r>
        <w:tab/>
      </w:r>
      <w:r>
        <w:fldChar w:fldCharType="begin"/>
      </w:r>
      <w:r>
        <w:instrText xml:space="preserve"> PAGEREF _Toc83204012 \h </w:instrText>
      </w:r>
      <w:r>
        <w:fldChar w:fldCharType="separate"/>
      </w:r>
      <w:r>
        <w:t>9</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"_Toc83204013" </w:instrText>
      </w:r>
      <w:r>
        <w:fldChar w:fldCharType="separate"/>
      </w:r>
      <w:r>
        <w:rPr>
          <w:rStyle w:val="22"/>
        </w:rPr>
        <w:t>第四节  发展路径</w:t>
      </w:r>
      <w:r>
        <w:tab/>
      </w:r>
      <w:r>
        <w:fldChar w:fldCharType="begin"/>
      </w:r>
      <w:r>
        <w:instrText xml:space="preserve"> PAGEREF _Toc83204013 \h </w:instrText>
      </w:r>
      <w:r>
        <w:fldChar w:fldCharType="separate"/>
      </w:r>
      <w:r>
        <w:t>15</w:t>
      </w:r>
      <w:r>
        <w:fldChar w:fldCharType="end"/>
      </w:r>
      <w:r>
        <w:fldChar w:fldCharType="end"/>
      </w:r>
    </w:p>
    <w:p>
      <w:pPr>
        <w:pStyle w:val="13"/>
        <w:tabs>
          <w:tab w:val="right" w:leader="dot" w:pos="9344"/>
        </w:tabs>
        <w:rPr>
          <w:rFonts w:ascii="等线" w:hAnsi="等线" w:eastAsia="等线"/>
          <w:sz w:val="21"/>
        </w:rPr>
      </w:pPr>
      <w:r>
        <w:fldChar w:fldCharType="begin"/>
      </w:r>
      <w:r>
        <w:instrText xml:space="preserve"> HYPERLINK \l "_Toc83204014" </w:instrText>
      </w:r>
      <w:r>
        <w:fldChar w:fldCharType="separate"/>
      </w:r>
      <w:r>
        <w:rPr>
          <w:rStyle w:val="22"/>
          <w:rFonts w:ascii="黑体" w:hAnsi="黑体" w:eastAsia="黑体" w:cs="Arial"/>
        </w:rPr>
        <w:t>第三章  重点任务</w:t>
      </w:r>
      <w:r>
        <w:tab/>
      </w:r>
      <w:r>
        <w:fldChar w:fldCharType="begin"/>
      </w:r>
      <w:r>
        <w:instrText xml:space="preserve"> PAGEREF _Toc83204014 \h </w:instrText>
      </w:r>
      <w:r>
        <w:fldChar w:fldCharType="separate"/>
      </w:r>
      <w:r>
        <w:t>17</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"_Toc83204015" </w:instrText>
      </w:r>
      <w:r>
        <w:fldChar w:fldCharType="separate"/>
      </w:r>
      <w:r>
        <w:rPr>
          <w:rStyle w:val="22"/>
        </w:rPr>
        <w:t>第一节  二氧化碳排放达峰工程</w:t>
      </w:r>
      <w:r>
        <w:tab/>
      </w:r>
      <w:r>
        <w:fldChar w:fldCharType="begin"/>
      </w:r>
      <w:r>
        <w:instrText xml:space="preserve"> PAGEREF _Toc83204015 \h </w:instrText>
      </w:r>
      <w:r>
        <w:fldChar w:fldCharType="separate"/>
      </w:r>
      <w:r>
        <w:t>17</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"_Toc83204016" </w:instrText>
      </w:r>
      <w:r>
        <w:fldChar w:fldCharType="separate"/>
      </w:r>
      <w:r>
        <w:rPr>
          <w:rStyle w:val="22"/>
        </w:rPr>
        <w:t>第二节  绿色经济高质量提升工程</w:t>
      </w:r>
      <w:r>
        <w:tab/>
      </w:r>
      <w:r>
        <w:fldChar w:fldCharType="begin"/>
      </w:r>
      <w:r>
        <w:instrText xml:space="preserve"> PAGEREF _Toc83204016 \h </w:instrText>
      </w:r>
      <w:r>
        <w:fldChar w:fldCharType="separate"/>
      </w:r>
      <w:r>
        <w:t>20</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"_Toc83204017" </w:instrText>
      </w:r>
      <w:r>
        <w:fldChar w:fldCharType="separate"/>
      </w:r>
      <w:r>
        <w:rPr>
          <w:rStyle w:val="22"/>
        </w:rPr>
        <w:t>第三节  人居环境高品质提</w:t>
      </w:r>
      <w:r>
        <w:rPr>
          <w:rStyle w:val="22"/>
          <w:rFonts w:hint="eastAsia"/>
        </w:rPr>
        <w:t>升</w:t>
      </w:r>
      <w:r>
        <w:rPr>
          <w:rStyle w:val="22"/>
        </w:rPr>
        <w:t>工程</w:t>
      </w:r>
      <w:r>
        <w:tab/>
      </w:r>
      <w:r>
        <w:fldChar w:fldCharType="begin"/>
      </w:r>
      <w:r>
        <w:instrText xml:space="preserve"> PAGEREF _Toc83204017 \h </w:instrText>
      </w:r>
      <w:r>
        <w:fldChar w:fldCharType="separate"/>
      </w:r>
      <w:r>
        <w:t>24</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"_Toc83204018" </w:instrText>
      </w:r>
      <w:r>
        <w:fldChar w:fldCharType="separate"/>
      </w:r>
      <w:r>
        <w:rPr>
          <w:rStyle w:val="22"/>
        </w:rPr>
        <w:t>第四节  绿色生活高标准营造工程</w:t>
      </w:r>
      <w:r>
        <w:tab/>
      </w:r>
      <w:r>
        <w:fldChar w:fldCharType="begin"/>
      </w:r>
      <w:r>
        <w:instrText xml:space="preserve"> PAGEREF _Toc83204018 \h </w:instrText>
      </w:r>
      <w:r>
        <w:fldChar w:fldCharType="separate"/>
      </w:r>
      <w:r>
        <w:t>27</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"_Toc83204019" </w:instrText>
      </w:r>
      <w:r>
        <w:fldChar w:fldCharType="separate"/>
      </w:r>
      <w:r>
        <w:rPr>
          <w:rStyle w:val="22"/>
        </w:rPr>
        <w:t>第五节  社会共建共治体系建设工程</w:t>
      </w:r>
      <w:r>
        <w:tab/>
      </w:r>
      <w:r>
        <w:fldChar w:fldCharType="begin"/>
      </w:r>
      <w:r>
        <w:instrText xml:space="preserve"> PAGEREF _Toc83204019 \h </w:instrText>
      </w:r>
      <w:r>
        <w:fldChar w:fldCharType="separate"/>
      </w:r>
      <w:r>
        <w:t>28</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"_Toc83204020" </w:instrText>
      </w:r>
      <w:r>
        <w:fldChar w:fldCharType="separate"/>
      </w:r>
      <w:r>
        <w:rPr>
          <w:rStyle w:val="22"/>
        </w:rPr>
        <w:t>第六节  城市与生态深化融合工程</w:t>
      </w:r>
      <w:r>
        <w:tab/>
      </w:r>
      <w:r>
        <w:fldChar w:fldCharType="begin"/>
      </w:r>
      <w:r>
        <w:instrText xml:space="preserve"> PAGEREF _Toc83204020 \h </w:instrText>
      </w:r>
      <w:r>
        <w:fldChar w:fldCharType="separate"/>
      </w:r>
      <w:r>
        <w:t>30</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"_Toc83204021" </w:instrText>
      </w:r>
      <w:r>
        <w:fldChar w:fldCharType="separate"/>
      </w:r>
      <w:r>
        <w:rPr>
          <w:rStyle w:val="22"/>
        </w:rPr>
        <w:t>第七节  闽西南绿色协同发展专项行动</w:t>
      </w:r>
      <w:r>
        <w:tab/>
      </w:r>
      <w:r>
        <w:fldChar w:fldCharType="begin"/>
      </w:r>
      <w:r>
        <w:instrText xml:space="preserve"> PAGEREF _Toc83204021 \h </w:instrText>
      </w:r>
      <w:r>
        <w:fldChar w:fldCharType="separate"/>
      </w:r>
      <w:r>
        <w:t>35</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"_Toc83204022" </w:instrText>
      </w:r>
      <w:r>
        <w:fldChar w:fldCharType="separate"/>
      </w:r>
      <w:r>
        <w:rPr>
          <w:rStyle w:val="22"/>
        </w:rPr>
        <w:t>第八节  国际合作多元化建设专项行动</w:t>
      </w:r>
      <w:r>
        <w:tab/>
      </w:r>
      <w:r>
        <w:fldChar w:fldCharType="begin"/>
      </w:r>
      <w:r>
        <w:instrText xml:space="preserve"> PAGEREF _Toc83204022 \h </w:instrText>
      </w:r>
      <w:r>
        <w:fldChar w:fldCharType="separate"/>
      </w:r>
      <w:r>
        <w:t>36</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"_Toc83204023" </w:instrText>
      </w:r>
      <w:r>
        <w:fldChar w:fldCharType="separate"/>
      </w:r>
      <w:r>
        <w:rPr>
          <w:rStyle w:val="22"/>
        </w:rPr>
        <w:t>第九节  持续深化生态文明体制改革行动</w:t>
      </w:r>
      <w:r>
        <w:tab/>
      </w:r>
      <w:r>
        <w:fldChar w:fldCharType="begin"/>
      </w:r>
      <w:r>
        <w:instrText xml:space="preserve"> PAGEREF _Toc83204023 \h </w:instrText>
      </w:r>
      <w:r>
        <w:fldChar w:fldCharType="separate"/>
      </w:r>
      <w:r>
        <w:t>36</w:t>
      </w:r>
      <w:r>
        <w:fldChar w:fldCharType="end"/>
      </w:r>
      <w:r>
        <w:fldChar w:fldCharType="end"/>
      </w:r>
    </w:p>
    <w:p>
      <w:pPr>
        <w:pStyle w:val="13"/>
        <w:tabs>
          <w:tab w:val="right" w:leader="dot" w:pos="9344"/>
        </w:tabs>
        <w:rPr>
          <w:rFonts w:ascii="等线" w:hAnsi="等线" w:eastAsia="等线"/>
          <w:sz w:val="21"/>
        </w:rPr>
      </w:pPr>
      <w:r>
        <w:fldChar w:fldCharType="begin"/>
      </w:r>
      <w:r>
        <w:instrText xml:space="preserve"> HYPERLINK \l "_Toc83204024" </w:instrText>
      </w:r>
      <w:r>
        <w:fldChar w:fldCharType="separate"/>
      </w:r>
      <w:r>
        <w:rPr>
          <w:rStyle w:val="22"/>
          <w:rFonts w:ascii="黑体" w:hAnsi="黑体" w:eastAsia="黑体" w:cs="Arial"/>
        </w:rPr>
        <w:t>第四章  保障措施</w:t>
      </w:r>
      <w:r>
        <w:tab/>
      </w:r>
      <w:r>
        <w:fldChar w:fldCharType="begin"/>
      </w:r>
      <w:r>
        <w:instrText xml:space="preserve"> PAGEREF _Toc83204024 \h </w:instrText>
      </w:r>
      <w:r>
        <w:fldChar w:fldCharType="separate"/>
      </w:r>
      <w:r>
        <w:t>40</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"_Toc83204025" </w:instrText>
      </w:r>
      <w:r>
        <w:fldChar w:fldCharType="separate"/>
      </w:r>
      <w:r>
        <w:rPr>
          <w:rStyle w:val="22"/>
        </w:rPr>
        <w:t>第一节  强化组织领导</w:t>
      </w:r>
      <w:r>
        <w:tab/>
      </w:r>
      <w:r>
        <w:fldChar w:fldCharType="begin"/>
      </w:r>
      <w:r>
        <w:instrText xml:space="preserve"> PAGEREF _Toc83204025 \h </w:instrText>
      </w:r>
      <w:r>
        <w:fldChar w:fldCharType="separate"/>
      </w:r>
      <w:r>
        <w:t>40</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"_Toc83204026" </w:instrText>
      </w:r>
      <w:r>
        <w:fldChar w:fldCharType="separate"/>
      </w:r>
      <w:r>
        <w:rPr>
          <w:rStyle w:val="22"/>
        </w:rPr>
        <w:t>第二节  加强资金投入</w:t>
      </w:r>
      <w:r>
        <w:tab/>
      </w:r>
      <w:r>
        <w:fldChar w:fldCharType="begin"/>
      </w:r>
      <w:r>
        <w:instrText xml:space="preserve"> PAGEREF _Toc83204026 \h </w:instrText>
      </w:r>
      <w:r>
        <w:fldChar w:fldCharType="separate"/>
      </w:r>
      <w:r>
        <w:t>41</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"_Toc83204027" </w:instrText>
      </w:r>
      <w:r>
        <w:fldChar w:fldCharType="separate"/>
      </w:r>
      <w:r>
        <w:rPr>
          <w:rStyle w:val="22"/>
        </w:rPr>
        <w:t>第三节  落实跟踪评估</w:t>
      </w:r>
      <w:r>
        <w:tab/>
      </w:r>
      <w:r>
        <w:fldChar w:fldCharType="begin"/>
      </w:r>
      <w:r>
        <w:instrText xml:space="preserve"> PAGEREF _Toc83204027 \h </w:instrText>
      </w:r>
      <w:r>
        <w:fldChar w:fldCharType="separate"/>
      </w:r>
      <w:r>
        <w:t>41</w:t>
      </w:r>
      <w:r>
        <w:fldChar w:fldCharType="end"/>
      </w:r>
      <w:r>
        <w:fldChar w:fldCharType="end"/>
      </w:r>
    </w:p>
    <w:p>
      <w:pPr>
        <w:pStyle w:val="16"/>
        <w:tabs>
          <w:tab w:val="right" w:leader="dot" w:pos="9344"/>
        </w:tabs>
        <w:ind w:left="600"/>
        <w:rPr>
          <w:rFonts w:ascii="等线" w:hAnsi="等线" w:eastAsia="等线"/>
          <w:sz w:val="21"/>
        </w:rPr>
      </w:pPr>
      <w:r>
        <w:fldChar w:fldCharType="begin"/>
      </w:r>
      <w:r>
        <w:instrText xml:space="preserve"> HYPERLINK \l "_Toc83204028" </w:instrText>
      </w:r>
      <w:r>
        <w:fldChar w:fldCharType="separate"/>
      </w:r>
      <w:r>
        <w:rPr>
          <w:rStyle w:val="22"/>
        </w:rPr>
        <w:t>第四节  注重宣传引导</w:t>
      </w:r>
      <w:r>
        <w:tab/>
      </w:r>
      <w:r>
        <w:fldChar w:fldCharType="begin"/>
      </w:r>
      <w:r>
        <w:instrText xml:space="preserve"> PAGEREF _Toc83204028 \h </w:instrText>
      </w:r>
      <w:r>
        <w:fldChar w:fldCharType="separate"/>
      </w:r>
      <w:r>
        <w:t>41</w:t>
      </w:r>
      <w:r>
        <w:fldChar w:fldCharType="end"/>
      </w:r>
      <w:r>
        <w:fldChar w:fldCharType="end"/>
      </w:r>
    </w:p>
    <w:p>
      <w:pPr>
        <w:pStyle w:val="13"/>
        <w:tabs>
          <w:tab w:val="right" w:leader="dot" w:pos="9344"/>
        </w:tabs>
        <w:rPr>
          <w:rFonts w:ascii="等线" w:hAnsi="等线" w:eastAsia="等线"/>
          <w:sz w:val="21"/>
        </w:rPr>
      </w:pPr>
      <w:r>
        <w:fldChar w:fldCharType="begin"/>
      </w:r>
      <w:r>
        <w:instrText xml:space="preserve"> HYPERLINK \l "_Toc83204029" </w:instrText>
      </w:r>
      <w:r>
        <w:fldChar w:fldCharType="separate"/>
      </w:r>
      <w:r>
        <w:rPr>
          <w:rStyle w:val="22"/>
          <w:rFonts w:ascii="黑体" w:hAnsi="黑体" w:eastAsia="黑体" w:cs="Arial"/>
        </w:rPr>
        <w:t>名词解释</w:t>
      </w:r>
      <w:r>
        <w:tab/>
      </w:r>
      <w:r>
        <w:fldChar w:fldCharType="begin"/>
      </w:r>
      <w:r>
        <w:instrText xml:space="preserve"> PAGEREF _Toc83204029 \h </w:instrText>
      </w:r>
      <w:r>
        <w:fldChar w:fldCharType="separate"/>
      </w:r>
      <w:r>
        <w:t>42</w:t>
      </w:r>
      <w:r>
        <w:fldChar w:fldCharType="end"/>
      </w:r>
      <w:r>
        <w:fldChar w:fldCharType="end"/>
      </w:r>
    </w:p>
    <w:p>
      <w:pPr>
        <w:pStyle w:val="16"/>
        <w:tabs>
          <w:tab w:val="right" w:leader="dot" w:pos="9344"/>
        </w:tabs>
        <w:ind w:left="600"/>
        <w:rPr>
          <w:rFonts w:ascii="等线" w:hAnsi="等线" w:eastAsia="等线"/>
          <w:sz w:val="21"/>
        </w:rPr>
      </w:pPr>
    </w:p>
    <w:p>
      <w:pPr>
        <w:pStyle w:val="38"/>
        <w:spacing w:line="276" w:lineRule="auto"/>
        <w:ind w:left="0" w:leftChars="0"/>
        <w:sectPr>
          <w:headerReference r:id="rId7" w:type="default"/>
          <w:footerReference r:id="rId8" w:type="default"/>
          <w:pgSz w:w="11906" w:h="16838"/>
          <w:pgMar w:top="1418" w:right="1134" w:bottom="1134" w:left="1418" w:header="397" w:footer="680" w:gutter="0"/>
          <w:cols w:space="720" w:num="1"/>
          <w:docGrid w:type="lines" w:linePitch="408" w:charSpace="0"/>
        </w:sectPr>
      </w:pPr>
      <w:r>
        <w:rPr>
          <w:lang w:val="zh-CN"/>
        </w:rPr>
        <w:fldChar w:fldCharType="end"/>
      </w:r>
    </w:p>
    <w:p>
      <w:pPr>
        <w:pStyle w:val="2"/>
        <w:spacing w:line="360" w:lineRule="auto"/>
      </w:pPr>
      <w:bookmarkStart w:id="0" w:name="_Toc83204005"/>
      <w:r>
        <w:rPr>
          <w:rFonts w:hint="eastAsia"/>
        </w:rPr>
        <w:t>前 言</w:t>
      </w:r>
      <w:bookmarkEnd w:id="0"/>
    </w:p>
    <w:p>
      <w:pPr>
        <w:ind w:firstLine="600" w:firstLineChars="200"/>
        <w:rPr>
          <w:color w:val="2B2B2B"/>
          <w:shd w:val="clear" w:color="auto" w:fill="FFFFFF"/>
        </w:rPr>
      </w:pPr>
      <w:r>
        <w:rPr>
          <w:rFonts w:hint="eastAsia"/>
          <w:color w:val="2B2B2B"/>
          <w:shd w:val="clear" w:color="auto" w:fill="FFFFFF"/>
        </w:rPr>
        <w:t>福建是全国首个国家生态文明试验区，2021年3月习近平总书记来闽考察指导，对福建生态文明建设作出重要指示，强调“绿色是福建一张亮丽名片。要接续努力，让绿水青山永远成为福建的骄傲”。“十四五”是福建省深入贯彻落实习近平总书记来闽考察重要讲话精神，坚定不移实施生态省战略、深化国家生态文明试验区建设、打造践行习近平生态文明思想的先行示范区、建设美丽中国示范省份的重要时期。厦门作为习近平生态文明思想的重要孕育地和先行实践地，牢记习近平总书记“当好生态省建设排头兵”的殷切嘱托，自觉做习近平生态文明思想的坚定信仰者、忠实践行者和不懈奋斗者，以加快实现生态文明建设领域超越为目标，立足更高起点加快建设高颜值厦门，努力建设全国生态文明典范城市，为奋力谱写全面建设社会主义现代化国家福建篇章贡献厦门力量。</w:t>
      </w:r>
    </w:p>
    <w:p>
      <w:pPr>
        <w:ind w:firstLine="600" w:firstLineChars="200"/>
        <w:rPr>
          <w:color w:val="2B2B2B"/>
          <w:shd w:val="clear" w:color="auto" w:fill="FFFFFF"/>
        </w:rPr>
      </w:pPr>
      <w:r>
        <w:rPr>
          <w:rFonts w:hint="eastAsia"/>
          <w:color w:val="2B2B2B"/>
          <w:shd w:val="clear" w:color="auto" w:fill="FFFFFF"/>
        </w:rPr>
        <w:t>本规划以党中央、国务院和省委、省政府关于生态文明建设的一系列决策部署和《厦门市国民经济和社会发展第十四个五年规划和二〇三五年远景目标纲要》为主要编制依据，</w:t>
      </w:r>
      <w:r>
        <w:rPr>
          <w:color w:val="2B2B2B"/>
          <w:shd w:val="clear" w:color="auto" w:fill="FFFFFF"/>
        </w:rPr>
        <w:t>主要阐述规划期内全市</w:t>
      </w:r>
      <w:r>
        <w:rPr>
          <w:rFonts w:hint="eastAsia"/>
          <w:color w:val="2B2B2B"/>
          <w:shd w:val="clear" w:color="auto" w:fill="FFFFFF"/>
        </w:rPr>
        <w:t>生态文明建设</w:t>
      </w:r>
      <w:r>
        <w:rPr>
          <w:color w:val="2B2B2B"/>
          <w:shd w:val="clear" w:color="auto" w:fill="FFFFFF"/>
        </w:rPr>
        <w:t>的</w:t>
      </w:r>
      <w:r>
        <w:rPr>
          <w:rFonts w:hint="eastAsia"/>
          <w:color w:val="2B2B2B"/>
          <w:shd w:val="clear" w:color="auto" w:fill="FFFFFF"/>
        </w:rPr>
        <w:t>发展目标和</w:t>
      </w:r>
      <w:r>
        <w:rPr>
          <w:color w:val="2B2B2B"/>
          <w:shd w:val="clear" w:color="auto" w:fill="FFFFFF"/>
        </w:rPr>
        <w:t>重点</w:t>
      </w:r>
      <w:r>
        <w:rPr>
          <w:rFonts w:hint="eastAsia"/>
          <w:color w:val="2B2B2B"/>
          <w:shd w:val="clear" w:color="auto" w:fill="FFFFFF"/>
        </w:rPr>
        <w:t>任务。</w:t>
      </w:r>
      <w:r>
        <w:rPr>
          <w:color w:val="2B2B2B"/>
          <w:shd w:val="clear" w:color="auto" w:fill="FFFFFF"/>
        </w:rPr>
        <w:t>规划期</w:t>
      </w:r>
      <w:r>
        <w:rPr>
          <w:rFonts w:hint="eastAsia"/>
          <w:color w:val="2B2B2B"/>
          <w:shd w:val="clear" w:color="auto" w:fill="FFFFFF"/>
        </w:rPr>
        <w:t>限</w:t>
      </w:r>
      <w:r>
        <w:rPr>
          <w:color w:val="2B2B2B"/>
          <w:shd w:val="clear" w:color="auto" w:fill="FFFFFF"/>
        </w:rPr>
        <w:t>为2021-2025年。</w:t>
      </w:r>
    </w:p>
    <w:p>
      <w:pPr>
        <w:pStyle w:val="2"/>
        <w:spacing w:line="360" w:lineRule="auto"/>
      </w:pPr>
      <w:bookmarkStart w:id="1" w:name="_Toc83204006"/>
      <w:r>
        <w:rPr>
          <w:rFonts w:hint="eastAsia" w:cs="Arial"/>
          <w:szCs w:val="21"/>
        </w:rPr>
        <w:t>第一章  发展背景</w:t>
      </w:r>
      <w:bookmarkEnd w:id="1"/>
    </w:p>
    <w:p>
      <w:pPr>
        <w:ind w:firstLine="600" w:firstLineChars="200"/>
      </w:pPr>
      <w:r>
        <w:rPr>
          <w:rFonts w:hint="eastAsia"/>
        </w:rPr>
        <w:t>厦门市作为海峡西岸最具活力的城市之一，人居环境优越，山海格局特点鲜明，绿色经济起步早、城市建设品质优、人文素养起点高。作为习近平生态文明思想的坚定践行者、全国生态文明建设领先城市，厦门市具有打造全国生态文明典范城市的良好基础与机遇。</w:t>
      </w:r>
    </w:p>
    <w:p>
      <w:pPr>
        <w:pStyle w:val="3"/>
      </w:pPr>
      <w:bookmarkStart w:id="2" w:name="_Toc83204007"/>
      <w:r>
        <w:rPr>
          <w:rFonts w:hint="eastAsia"/>
        </w:rPr>
        <w:t>第一节  发展基础</w:t>
      </w:r>
      <w:bookmarkEnd w:id="2"/>
    </w:p>
    <w:p>
      <w:pPr>
        <w:ind w:firstLine="600" w:firstLineChars="200"/>
      </w:pPr>
      <w:r>
        <w:rPr>
          <w:rFonts w:hint="eastAsia"/>
        </w:rPr>
        <w:t>“十三五”期间，厦门市生态文明建设成效显著，“十三五”规划确定的各项目标基本实现，体制改革重点任务落地见效，生态文明指数在全国地级及以上城市名列第一，荣获“国家生态园林城市”称号。</w:t>
      </w:r>
    </w:p>
    <w:p>
      <w:pPr>
        <w:ind w:firstLine="602" w:firstLineChars="200"/>
      </w:pPr>
      <w:r>
        <w:rPr>
          <w:rFonts w:hint="eastAsia"/>
          <w:b/>
          <w:bCs/>
        </w:rPr>
        <w:t>生态经济发展成绩显著。</w:t>
      </w:r>
      <w:r>
        <w:rPr>
          <w:rFonts w:hint="eastAsia"/>
        </w:rPr>
        <w:t>产业结构、能源结构不断优化，经济绿色化水平持续提升。高技术制造业增加值占比39</w:t>
      </w:r>
      <w:r>
        <w:t>.</w:t>
      </w:r>
      <w:r>
        <w:rPr>
          <w:rFonts w:hint="eastAsia"/>
        </w:rPr>
        <w:t>8</w:t>
      </w:r>
      <w:r>
        <w:t>％</w:t>
      </w:r>
      <w:r>
        <w:rPr>
          <w:rFonts w:hint="eastAsia"/>
        </w:rPr>
        <w:t>，位居全省首位；单位G</w:t>
      </w:r>
      <w:r>
        <w:t>DP</w:t>
      </w:r>
      <w:r>
        <w:rPr>
          <w:rFonts w:hint="eastAsia"/>
        </w:rPr>
        <w:t>能耗累计下降15.1%，超过省里下达的任务（省里下达12%），万元G</w:t>
      </w:r>
      <w:r>
        <w:t>DP</w:t>
      </w:r>
      <w:r>
        <w:rPr>
          <w:rFonts w:hint="eastAsia"/>
        </w:rPr>
        <w:t>用水量累计下降超35%，仅10.9</w:t>
      </w:r>
      <w:r>
        <w:t>立方米/万元</w:t>
      </w:r>
      <w:r>
        <w:rPr>
          <w:rFonts w:hint="eastAsia"/>
        </w:rPr>
        <w:t>，均为全国领先水平。绿色经济示范效应凸显，先后获批国家海洋经济创新发展示范市、国家海洋经济发展示范区，五缘湾片区生态修复与综合开发列入国家首批生态产品价值实现典型案例。绿色建设能力彰显，绿色交通获评中华环境奖，绿色空港成为全国典型，厦门港获评亚太绿色港口称号和四星级中国绿色港口称号。</w:t>
      </w:r>
    </w:p>
    <w:p>
      <w:pPr>
        <w:ind w:firstLine="602" w:firstLineChars="200"/>
      </w:pPr>
      <w:r>
        <w:rPr>
          <w:rFonts w:hint="eastAsia"/>
          <w:b/>
          <w:bCs/>
        </w:rPr>
        <w:t>生态环境水平明显提升。</w:t>
      </w:r>
      <w:r>
        <w:rPr>
          <w:rFonts w:hint="eastAsia"/>
        </w:rPr>
        <w:t>空气质量综合指数排名连续五年保持全国前列。水环境质量逐步改善，</w:t>
      </w:r>
      <w:r>
        <w:rPr>
          <w:rFonts w:hint="eastAsia" w:ascii="仿宋" w:hAnsi="仿宋"/>
          <w:bCs/>
          <w:szCs w:val="30"/>
        </w:rPr>
        <w:t>饮用水水源地水质达标率、国省控断面水环境功能区达标率达到</w:t>
      </w:r>
      <w:r>
        <w:rPr>
          <w:rFonts w:ascii="仿宋" w:hAnsi="仿宋"/>
          <w:bCs/>
          <w:szCs w:val="30"/>
        </w:rPr>
        <w:t>100%</w:t>
      </w:r>
      <w:r>
        <w:rPr>
          <w:rFonts w:hint="eastAsia" w:ascii="仿宋" w:hAnsi="仿宋"/>
          <w:bCs/>
          <w:szCs w:val="30"/>
        </w:rPr>
        <w:t>。</w:t>
      </w:r>
      <w:r>
        <w:rPr>
          <w:rFonts w:hint="eastAsia"/>
        </w:rPr>
        <w:t>废弃物治理水平不断提升，城镇生活垃圾无害化处理率“十三五”保持100%、危险废物处置利用率2018年以来保持</w:t>
      </w:r>
      <w:r>
        <w:t>100%</w:t>
      </w:r>
      <w:r>
        <w:rPr>
          <w:rFonts w:hint="eastAsia"/>
        </w:rPr>
        <w:t>。城市空间绿化美化水平不断提高，建成区绿化覆盖率、森林覆盖率分别达45.52%、</w:t>
      </w:r>
      <w:r>
        <w:t>41.</w:t>
      </w:r>
      <w:r>
        <w:rPr>
          <w:rFonts w:hint="eastAsia"/>
        </w:rPr>
        <w:t>72</w:t>
      </w:r>
      <w:r>
        <w:t>%</w:t>
      </w:r>
      <w:r>
        <w:rPr>
          <w:rFonts w:hint="eastAsia"/>
        </w:rPr>
        <w:t>。湿地、海洋生态修复加速推进，全市累计修复岸线30公里，建成人造沙滩100多万平方米；海沧湾生态修复工程荣获“蓝色海湾国家示范工程”。</w:t>
      </w:r>
    </w:p>
    <w:p>
      <w:pPr>
        <w:ind w:firstLine="602" w:firstLineChars="200"/>
        <w:rPr>
          <w:color w:val="FF0000"/>
        </w:rPr>
      </w:pPr>
      <w:r>
        <w:rPr>
          <w:rFonts w:hint="eastAsia"/>
          <w:b/>
          <w:bCs/>
        </w:rPr>
        <w:t>生态文明理念深入人心。</w:t>
      </w:r>
      <w:r>
        <w:rPr>
          <w:rFonts w:hint="eastAsia" w:ascii="仿宋" w:hAnsi="仿宋"/>
          <w:bCs/>
          <w:szCs w:val="30"/>
        </w:rPr>
        <w:t>市民绿色出行意愿不断提升，</w:t>
      </w:r>
      <w:r>
        <w:rPr>
          <w:rFonts w:ascii="仿宋" w:hAnsi="仿宋"/>
          <w:bCs/>
          <w:szCs w:val="30"/>
        </w:rPr>
        <w:t>新能源汽车推广量居福建省第一，绿色出行率达70%</w:t>
      </w:r>
      <w:r>
        <w:rPr>
          <w:rFonts w:hint="eastAsia" w:ascii="仿宋" w:hAnsi="仿宋"/>
          <w:bCs/>
          <w:szCs w:val="30"/>
        </w:rPr>
        <w:t>，全市建成新能源充电桩</w:t>
      </w:r>
      <w:r>
        <w:rPr>
          <w:rFonts w:ascii="仿宋" w:hAnsi="仿宋"/>
          <w:bCs/>
          <w:szCs w:val="30"/>
        </w:rPr>
        <w:t>9000</w:t>
      </w:r>
      <w:r>
        <w:rPr>
          <w:rFonts w:hint="eastAsia" w:ascii="仿宋" w:hAnsi="仿宋"/>
          <w:bCs/>
          <w:szCs w:val="30"/>
        </w:rPr>
        <w:t>余</w:t>
      </w:r>
      <w:r>
        <w:rPr>
          <w:rFonts w:ascii="仿宋" w:hAnsi="仿宋"/>
          <w:bCs/>
          <w:szCs w:val="30"/>
        </w:rPr>
        <w:t>个。“绿海鸥在行动”带动全</w:t>
      </w:r>
      <w:r>
        <w:rPr>
          <w:rFonts w:hint="eastAsia" w:ascii="仿宋" w:hAnsi="仿宋"/>
          <w:bCs/>
          <w:szCs w:val="30"/>
        </w:rPr>
        <w:t>体市民</w:t>
      </w:r>
      <w:r>
        <w:rPr>
          <w:rFonts w:ascii="仿宋" w:hAnsi="仿宋"/>
          <w:bCs/>
          <w:szCs w:val="30"/>
        </w:rPr>
        <w:t>成为垃圾分类的积极参与者，全民共创生活垃圾分类“厦门模式”。出台《厦门市环境教育规定》，生态环境教育“五融入”</w:t>
      </w:r>
      <w:r>
        <w:rPr>
          <w:rFonts w:hint="eastAsia" w:ascii="仿宋" w:hAnsi="仿宋"/>
          <w:bCs/>
          <w:szCs w:val="30"/>
        </w:rPr>
        <w:t>（名词解释</w:t>
      </w:r>
      <w:r>
        <w:rPr>
          <w:rFonts w:ascii="仿宋" w:hAnsi="仿宋"/>
          <w:bCs/>
          <w:szCs w:val="30"/>
        </w:rPr>
        <w:t>1</w:t>
      </w:r>
      <w:r>
        <w:rPr>
          <w:rFonts w:hint="eastAsia" w:ascii="仿宋" w:hAnsi="仿宋"/>
          <w:bCs/>
          <w:szCs w:val="30"/>
        </w:rPr>
        <w:t>）</w:t>
      </w:r>
      <w:r>
        <w:rPr>
          <w:rFonts w:ascii="仿宋" w:hAnsi="仿宋"/>
          <w:bCs/>
          <w:szCs w:val="30"/>
        </w:rPr>
        <w:t>模式成效显著，市民环保意愿和行动力不断提高，环保志愿者数量占常住人口1/8</w:t>
      </w:r>
      <w:r>
        <w:rPr>
          <w:rFonts w:hint="eastAsia" w:ascii="仿宋" w:hAnsi="仿宋"/>
          <w:bCs/>
          <w:szCs w:val="30"/>
        </w:rPr>
        <w:t>。</w:t>
      </w:r>
    </w:p>
    <w:p>
      <w:pPr>
        <w:ind w:firstLine="600"/>
        <w:rPr>
          <w:rFonts w:ascii="仿宋" w:hAnsi="仿宋"/>
          <w:szCs w:val="30"/>
        </w:rPr>
      </w:pPr>
      <w:r>
        <w:rPr>
          <w:rFonts w:hint="eastAsia"/>
          <w:b/>
          <w:bCs/>
        </w:rPr>
        <w:t>体制改革构建坚实保障。</w:t>
      </w:r>
      <w:r>
        <w:rPr>
          <w:rFonts w:hint="eastAsia" w:ascii="仿宋" w:hAnsi="仿宋"/>
          <w:szCs w:val="30"/>
        </w:rPr>
        <w:t>推进国家生态文明试验区建设，实施生态文明体制改革行动方案，开展国土空间用途管制、目标责任考核等</w:t>
      </w:r>
      <w:r>
        <w:rPr>
          <w:rFonts w:ascii="仿宋" w:hAnsi="仿宋"/>
          <w:szCs w:val="30"/>
        </w:rPr>
        <w:t>36项体制改革</w:t>
      </w:r>
      <w:r>
        <w:rPr>
          <w:rFonts w:hint="eastAsia" w:ascii="仿宋" w:hAnsi="仿宋"/>
          <w:szCs w:val="30"/>
        </w:rPr>
        <w:t>，形成</w:t>
      </w:r>
      <w:r>
        <w:rPr>
          <w:rFonts w:ascii="仿宋" w:hAnsi="仿宋"/>
          <w:szCs w:val="30"/>
        </w:rPr>
        <w:t>56项改革成果</w:t>
      </w:r>
      <w:r>
        <w:rPr>
          <w:rFonts w:hint="eastAsia" w:ascii="仿宋" w:hAnsi="仿宋"/>
          <w:szCs w:val="30"/>
        </w:rPr>
        <w:t>。</w:t>
      </w:r>
      <w:r>
        <w:rPr>
          <w:rFonts w:ascii="仿宋" w:hAnsi="仿宋"/>
          <w:szCs w:val="30"/>
        </w:rPr>
        <w:t>“多规合一”</w:t>
      </w:r>
      <w:r>
        <w:rPr>
          <w:rFonts w:hint="eastAsia" w:ascii="仿宋" w:hAnsi="仿宋"/>
          <w:szCs w:val="30"/>
        </w:rPr>
        <w:t>（名词解释</w:t>
      </w:r>
      <w:r>
        <w:rPr>
          <w:rFonts w:ascii="仿宋" w:hAnsi="仿宋"/>
          <w:szCs w:val="30"/>
        </w:rPr>
        <w:t>2</w:t>
      </w:r>
      <w:r>
        <w:rPr>
          <w:rFonts w:hint="eastAsia" w:ascii="仿宋" w:hAnsi="仿宋"/>
          <w:szCs w:val="30"/>
        </w:rPr>
        <w:t>）</w:t>
      </w:r>
      <w:r>
        <w:rPr>
          <w:rFonts w:ascii="仿宋" w:hAnsi="仿宋"/>
          <w:szCs w:val="30"/>
        </w:rPr>
        <w:t>、垃圾分类、筼筜湖治理、五缘湾生态修复与开发、海上环卫等</w:t>
      </w:r>
      <w:r>
        <w:rPr>
          <w:rFonts w:hint="eastAsia" w:ascii="仿宋" w:hAnsi="仿宋"/>
          <w:szCs w:val="30"/>
        </w:rPr>
        <w:t>5项改革举措和经验做法</w:t>
      </w:r>
      <w:r>
        <w:rPr>
          <w:rFonts w:ascii="仿宋" w:hAnsi="仿宋"/>
          <w:szCs w:val="30"/>
        </w:rPr>
        <w:t>全国推广</w:t>
      </w:r>
      <w:r>
        <w:rPr>
          <w:rFonts w:hint="eastAsia" w:ascii="仿宋" w:hAnsi="仿宋"/>
          <w:szCs w:val="30"/>
        </w:rPr>
        <w:t>。</w:t>
      </w:r>
      <w:r>
        <w:t>率先</w:t>
      </w:r>
      <w:r>
        <w:rPr>
          <w:rFonts w:ascii="仿宋" w:hAnsi="仿宋"/>
          <w:szCs w:val="30"/>
        </w:rPr>
        <w:t>出台《厦门经济特区多规合一管理若干规定》，</w:t>
      </w:r>
      <w:r>
        <w:rPr>
          <w:rFonts w:hint="eastAsia" w:ascii="仿宋" w:hAnsi="仿宋"/>
          <w:szCs w:val="30"/>
        </w:rPr>
        <w:t>率先实现“三线一单”生态环境分区管控体系与“多规合一”有机融合。全面落实生态环境保护工作“党政同责、一岗双责”制度。制定并实施比国家、福建省更加严格的地方污染物排放标准。</w:t>
      </w:r>
      <w:r>
        <w:rPr>
          <w:rFonts w:hint="eastAsia"/>
        </w:rPr>
        <w:t>出台全国首个市级节能失信行为管理办法，建立企业失信行为联合惩戒机制。“一核多元”（名词解释3）的社区治理架构基本形成，社区居民协商公议的“官任模式”获得广泛推广</w:t>
      </w:r>
      <w:r>
        <w:rPr>
          <w:rFonts w:hint="eastAsia" w:ascii="仿宋" w:hAnsi="仿宋"/>
          <w:szCs w:val="30"/>
        </w:rPr>
        <w:t>，多元共治水平不断提高。</w:t>
      </w:r>
    </w:p>
    <w:p>
      <w:pPr>
        <w:pStyle w:val="6"/>
        <w:spacing w:after="408"/>
        <w:rPr>
          <w:rFonts w:ascii="黑体" w:hAnsi="黑体" w:eastAsia="黑体"/>
        </w:rPr>
      </w:pPr>
      <w:r>
        <w:rPr>
          <w:rFonts w:ascii="黑体" w:hAnsi="黑体" w:eastAsia="黑体"/>
        </w:rPr>
        <w:t>表</w:t>
      </w:r>
      <w:r>
        <w:rPr>
          <w:rFonts w:ascii="黑体" w:hAnsi="黑体" w:eastAsia="黑体"/>
        </w:rPr>
        <w:fldChar w:fldCharType="begin"/>
      </w:r>
      <w:r>
        <w:rPr>
          <w:rFonts w:ascii="黑体" w:hAnsi="黑体" w:eastAsia="黑体"/>
        </w:rPr>
        <w:instrText xml:space="preserve"> SEQ 表格 \* ARABIC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hint="eastAsia" w:ascii="黑体" w:hAnsi="黑体" w:eastAsia="黑体"/>
        </w:rPr>
        <w:t>厦门市“十三五”生态文明建设规划指标完成情况表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8"/>
        <w:gridCol w:w="621"/>
        <w:gridCol w:w="3577"/>
        <w:gridCol w:w="936"/>
        <w:gridCol w:w="1504"/>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 w:hRule="atLeast"/>
          <w:jc w:val="center"/>
        </w:trPr>
        <w:tc>
          <w:tcPr>
            <w:tcW w:w="660" w:type="pct"/>
            <w:tcMar>
              <w:top w:w="15" w:type="dxa"/>
              <w:left w:w="17" w:type="dxa"/>
              <w:bottom w:w="0" w:type="dxa"/>
              <w:right w:w="17" w:type="dxa"/>
            </w:tcMar>
            <w:vAlign w:val="center"/>
          </w:tcPr>
          <w:p>
            <w:pPr>
              <w:widowControl/>
              <w:spacing w:line="240" w:lineRule="auto"/>
              <w:jc w:val="center"/>
              <w:rPr>
                <w:rFonts w:ascii="仿宋" w:hAnsi="仿宋" w:cs="Arial"/>
                <w:b/>
                <w:bCs/>
                <w:kern w:val="0"/>
                <w:sz w:val="21"/>
                <w:szCs w:val="21"/>
              </w:rPr>
            </w:pPr>
            <w:r>
              <w:rPr>
                <w:rFonts w:hint="eastAsia" w:ascii="仿宋" w:hAnsi="仿宋" w:cs="Arial"/>
                <w:b/>
                <w:bCs/>
                <w:color w:val="000000"/>
                <w:sz w:val="21"/>
                <w:szCs w:val="21"/>
              </w:rPr>
              <w:t>领域</w:t>
            </w:r>
          </w:p>
        </w:tc>
        <w:tc>
          <w:tcPr>
            <w:tcW w:w="2238" w:type="pct"/>
            <w:gridSpan w:val="2"/>
            <w:tcMar>
              <w:top w:w="15" w:type="dxa"/>
              <w:left w:w="17" w:type="dxa"/>
              <w:bottom w:w="0" w:type="dxa"/>
              <w:right w:w="17" w:type="dxa"/>
            </w:tcMar>
            <w:vAlign w:val="center"/>
          </w:tcPr>
          <w:p>
            <w:pPr>
              <w:widowControl/>
              <w:spacing w:line="240" w:lineRule="auto"/>
              <w:jc w:val="center"/>
              <w:rPr>
                <w:rFonts w:ascii="仿宋" w:hAnsi="仿宋" w:cs="Arial"/>
                <w:b/>
                <w:bCs/>
                <w:kern w:val="0"/>
                <w:sz w:val="21"/>
                <w:szCs w:val="21"/>
              </w:rPr>
            </w:pPr>
            <w:r>
              <w:rPr>
                <w:rFonts w:hint="eastAsia" w:ascii="仿宋" w:hAnsi="仿宋" w:cs="Arial"/>
                <w:b/>
                <w:bCs/>
                <w:color w:val="000000"/>
                <w:sz w:val="21"/>
                <w:szCs w:val="21"/>
              </w:rPr>
              <w:t>指标</w:t>
            </w:r>
          </w:p>
        </w:tc>
        <w:tc>
          <w:tcPr>
            <w:tcW w:w="499" w:type="pct"/>
            <w:vAlign w:val="center"/>
          </w:tcPr>
          <w:p>
            <w:pPr>
              <w:widowControl/>
              <w:spacing w:line="240" w:lineRule="auto"/>
              <w:jc w:val="center"/>
              <w:rPr>
                <w:rFonts w:ascii="仿宋" w:hAnsi="仿宋" w:cs="Arial"/>
                <w:b/>
                <w:bCs/>
                <w:color w:val="000000"/>
                <w:sz w:val="21"/>
                <w:szCs w:val="21"/>
              </w:rPr>
            </w:pPr>
            <w:r>
              <w:rPr>
                <w:rFonts w:hint="eastAsia" w:ascii="仿宋" w:hAnsi="仿宋" w:cs="Arial"/>
                <w:b/>
                <w:bCs/>
                <w:color w:val="000000"/>
                <w:sz w:val="21"/>
                <w:szCs w:val="21"/>
              </w:rPr>
              <w:t>单位</w:t>
            </w:r>
          </w:p>
        </w:tc>
        <w:tc>
          <w:tcPr>
            <w:tcW w:w="802" w:type="pct"/>
            <w:tcMar>
              <w:top w:w="15" w:type="dxa"/>
              <w:left w:w="5" w:type="dxa"/>
              <w:bottom w:w="0" w:type="dxa"/>
              <w:right w:w="5" w:type="dxa"/>
            </w:tcMar>
            <w:vAlign w:val="center"/>
          </w:tcPr>
          <w:p>
            <w:pPr>
              <w:widowControl/>
              <w:spacing w:line="240" w:lineRule="auto"/>
              <w:jc w:val="center"/>
              <w:rPr>
                <w:rFonts w:ascii="仿宋" w:hAnsi="仿宋" w:cs="Arial"/>
                <w:b/>
                <w:bCs/>
                <w:color w:val="000000"/>
                <w:sz w:val="21"/>
                <w:szCs w:val="21"/>
              </w:rPr>
            </w:pPr>
            <w:r>
              <w:rPr>
                <w:rFonts w:hint="eastAsia" w:ascii="仿宋" w:hAnsi="仿宋" w:cs="Arial"/>
                <w:b/>
                <w:bCs/>
                <w:color w:val="000000"/>
                <w:sz w:val="21"/>
                <w:szCs w:val="21"/>
              </w:rPr>
              <w:t>2</w:t>
            </w:r>
            <w:r>
              <w:rPr>
                <w:rFonts w:ascii="仿宋" w:hAnsi="仿宋" w:cs="Arial"/>
                <w:b/>
                <w:bCs/>
                <w:color w:val="000000"/>
                <w:sz w:val="21"/>
                <w:szCs w:val="21"/>
              </w:rPr>
              <w:t>020</w:t>
            </w:r>
            <w:r>
              <w:rPr>
                <w:rFonts w:hint="eastAsia" w:ascii="仿宋" w:hAnsi="仿宋" w:cs="Arial"/>
                <w:b/>
                <w:bCs/>
                <w:color w:val="000000"/>
                <w:sz w:val="21"/>
                <w:szCs w:val="21"/>
              </w:rPr>
              <w:t>年</w:t>
            </w:r>
          </w:p>
          <w:p>
            <w:pPr>
              <w:widowControl/>
              <w:spacing w:line="240" w:lineRule="auto"/>
              <w:jc w:val="center"/>
              <w:rPr>
                <w:rFonts w:ascii="仿宋" w:hAnsi="仿宋" w:cs="Arial"/>
                <w:b/>
                <w:bCs/>
                <w:kern w:val="0"/>
                <w:sz w:val="21"/>
                <w:szCs w:val="21"/>
              </w:rPr>
            </w:pPr>
            <w:r>
              <w:rPr>
                <w:rFonts w:hint="eastAsia" w:ascii="仿宋" w:hAnsi="仿宋" w:cs="Arial"/>
                <w:b/>
                <w:bCs/>
                <w:color w:val="000000"/>
                <w:sz w:val="21"/>
                <w:szCs w:val="21"/>
              </w:rPr>
              <w:t>目标值</w:t>
            </w:r>
          </w:p>
        </w:tc>
        <w:tc>
          <w:tcPr>
            <w:tcW w:w="800" w:type="pct"/>
            <w:vAlign w:val="center"/>
          </w:tcPr>
          <w:p>
            <w:pPr>
              <w:widowControl/>
              <w:spacing w:line="240" w:lineRule="auto"/>
              <w:jc w:val="center"/>
              <w:rPr>
                <w:rFonts w:ascii="仿宋" w:hAnsi="仿宋"/>
                <w:b/>
                <w:bCs/>
                <w:color w:val="000000"/>
                <w:sz w:val="21"/>
                <w:szCs w:val="21"/>
              </w:rPr>
            </w:pPr>
            <w:r>
              <w:rPr>
                <w:rFonts w:hint="eastAsia" w:ascii="仿宋" w:hAnsi="仿宋"/>
                <w:b/>
                <w:bCs/>
                <w:color w:val="000000"/>
                <w:sz w:val="21"/>
                <w:szCs w:val="21"/>
              </w:rPr>
              <w:t>2020年</w:t>
            </w:r>
          </w:p>
          <w:p>
            <w:pPr>
              <w:widowControl/>
              <w:spacing w:line="240" w:lineRule="auto"/>
              <w:jc w:val="center"/>
              <w:rPr>
                <w:rFonts w:ascii="仿宋" w:hAnsi="仿宋"/>
                <w:b/>
                <w:bCs/>
                <w:color w:val="000000"/>
                <w:sz w:val="21"/>
                <w:szCs w:val="21"/>
              </w:rPr>
            </w:pPr>
            <w:r>
              <w:rPr>
                <w:rFonts w:hint="eastAsia" w:ascii="仿宋" w:hAnsi="仿宋"/>
                <w:b/>
                <w:bCs/>
                <w:color w:val="000000"/>
                <w:sz w:val="21"/>
                <w:szCs w:val="21"/>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jc w:val="center"/>
        </w:trPr>
        <w:tc>
          <w:tcPr>
            <w:tcW w:w="660" w:type="pct"/>
            <w:vMerge w:val="restart"/>
            <w:tcMar>
              <w:top w:w="15" w:type="dxa"/>
              <w:left w:w="17" w:type="dxa"/>
              <w:bottom w:w="0" w:type="dxa"/>
              <w:right w:w="17" w:type="dxa"/>
            </w:tcMar>
            <w:vAlign w:val="center"/>
          </w:tcPr>
          <w:p>
            <w:pPr>
              <w:widowControl/>
              <w:spacing w:line="240" w:lineRule="auto"/>
              <w:jc w:val="center"/>
              <w:rPr>
                <w:rFonts w:ascii="仿宋" w:hAnsi="仿宋" w:cs="Arial"/>
                <w:sz w:val="21"/>
                <w:szCs w:val="21"/>
              </w:rPr>
            </w:pPr>
            <w:r>
              <w:rPr>
                <w:rFonts w:hint="eastAsia" w:ascii="仿宋" w:hAnsi="仿宋" w:cs="Arial"/>
                <w:sz w:val="21"/>
                <w:szCs w:val="21"/>
              </w:rPr>
              <w:t>生态</w:t>
            </w:r>
          </w:p>
          <w:p>
            <w:pPr>
              <w:widowControl/>
              <w:spacing w:line="240" w:lineRule="auto"/>
              <w:jc w:val="center"/>
              <w:rPr>
                <w:rFonts w:ascii="仿宋" w:hAnsi="仿宋" w:cs="Arial"/>
                <w:kern w:val="0"/>
                <w:sz w:val="21"/>
                <w:szCs w:val="21"/>
              </w:rPr>
            </w:pPr>
            <w:r>
              <w:rPr>
                <w:rFonts w:hint="eastAsia" w:ascii="仿宋" w:hAnsi="仿宋" w:cs="Arial"/>
                <w:sz w:val="21"/>
                <w:szCs w:val="21"/>
              </w:rPr>
              <w:t>空间</w:t>
            </w:r>
          </w:p>
        </w:tc>
        <w:tc>
          <w:tcPr>
            <w:tcW w:w="331" w:type="pct"/>
            <w:tcMar>
              <w:top w:w="15" w:type="dxa"/>
              <w:left w:w="5" w:type="dxa"/>
              <w:bottom w:w="0" w:type="dxa"/>
              <w:right w:w="5" w:type="dxa"/>
            </w:tcMar>
            <w:vAlign w:val="center"/>
          </w:tcPr>
          <w:p>
            <w:pPr>
              <w:widowControl/>
              <w:spacing w:line="240" w:lineRule="auto"/>
              <w:jc w:val="center"/>
              <w:rPr>
                <w:rFonts w:ascii="仿宋" w:hAnsi="仿宋" w:cs="Arial"/>
                <w:kern w:val="0"/>
                <w:sz w:val="21"/>
                <w:szCs w:val="21"/>
              </w:rPr>
            </w:pPr>
            <w:r>
              <w:rPr>
                <w:rFonts w:ascii="仿宋" w:hAnsi="仿宋" w:cs="Arial"/>
                <w:kern w:val="24"/>
                <w:sz w:val="21"/>
                <w:szCs w:val="21"/>
              </w:rPr>
              <w:t>1</w:t>
            </w:r>
          </w:p>
        </w:tc>
        <w:tc>
          <w:tcPr>
            <w:tcW w:w="1907"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生态保护红线</w:t>
            </w:r>
          </w:p>
        </w:tc>
        <w:tc>
          <w:tcPr>
            <w:tcW w:w="499" w:type="pct"/>
            <w:vAlign w:val="center"/>
          </w:tcPr>
          <w:p>
            <w:pPr>
              <w:widowControl/>
              <w:spacing w:line="240" w:lineRule="auto"/>
              <w:jc w:val="center"/>
              <w:rPr>
                <w:rFonts w:ascii="仿宋" w:hAnsi="仿宋" w:cs="Arial"/>
                <w:sz w:val="21"/>
                <w:szCs w:val="21"/>
              </w:rPr>
            </w:pPr>
            <w:r>
              <w:rPr>
                <w:rFonts w:hint="eastAsia" w:ascii="仿宋" w:hAnsi="仿宋" w:cs="Arial"/>
                <w:sz w:val="21"/>
                <w:szCs w:val="21"/>
              </w:rPr>
              <w:t>—</w:t>
            </w:r>
          </w:p>
        </w:tc>
        <w:tc>
          <w:tcPr>
            <w:tcW w:w="802"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划定并遵守</w:t>
            </w:r>
          </w:p>
        </w:tc>
        <w:tc>
          <w:tcPr>
            <w:tcW w:w="800" w:type="pct"/>
            <w:vAlign w:val="center"/>
          </w:tcPr>
          <w:p>
            <w:pPr>
              <w:widowControl/>
              <w:spacing w:line="240" w:lineRule="auto"/>
              <w:jc w:val="center"/>
              <w:rPr>
                <w:rFonts w:ascii="仿宋" w:hAnsi="仿宋" w:cs="Arial"/>
                <w:sz w:val="21"/>
                <w:szCs w:val="21"/>
              </w:rPr>
            </w:pPr>
            <w:r>
              <w:rPr>
                <w:rFonts w:hint="eastAsia" w:ascii="仿宋" w:hAnsi="仿宋" w:cs="Arial"/>
                <w:sz w:val="21"/>
                <w:szCs w:val="21"/>
              </w:rPr>
              <w:t>划定并遵守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660" w:type="pct"/>
            <w:vMerge w:val="continue"/>
            <w:vAlign w:val="center"/>
          </w:tcPr>
          <w:p>
            <w:pPr>
              <w:widowControl/>
              <w:spacing w:line="240" w:lineRule="auto"/>
              <w:jc w:val="center"/>
              <w:rPr>
                <w:rFonts w:ascii="仿宋" w:hAnsi="仿宋" w:cs="Arial"/>
                <w:kern w:val="0"/>
                <w:sz w:val="21"/>
                <w:szCs w:val="21"/>
              </w:rPr>
            </w:pPr>
          </w:p>
        </w:tc>
        <w:tc>
          <w:tcPr>
            <w:tcW w:w="331" w:type="pct"/>
            <w:tcMar>
              <w:top w:w="15" w:type="dxa"/>
              <w:left w:w="5" w:type="dxa"/>
              <w:bottom w:w="0" w:type="dxa"/>
              <w:right w:w="5" w:type="dxa"/>
            </w:tcMar>
            <w:vAlign w:val="center"/>
          </w:tcPr>
          <w:p>
            <w:pPr>
              <w:widowControl/>
              <w:spacing w:line="240" w:lineRule="auto"/>
              <w:jc w:val="center"/>
              <w:rPr>
                <w:rFonts w:ascii="仿宋" w:hAnsi="仿宋" w:cs="Arial"/>
                <w:kern w:val="0"/>
                <w:sz w:val="21"/>
                <w:szCs w:val="21"/>
              </w:rPr>
            </w:pPr>
            <w:r>
              <w:rPr>
                <w:rFonts w:ascii="仿宋" w:hAnsi="仿宋" w:cs="Arial"/>
                <w:kern w:val="24"/>
                <w:sz w:val="21"/>
                <w:szCs w:val="21"/>
              </w:rPr>
              <w:t>2</w:t>
            </w:r>
          </w:p>
        </w:tc>
        <w:tc>
          <w:tcPr>
            <w:tcW w:w="1907"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耕地红线</w:t>
            </w:r>
          </w:p>
        </w:tc>
        <w:tc>
          <w:tcPr>
            <w:tcW w:w="499" w:type="pct"/>
            <w:vAlign w:val="center"/>
          </w:tcPr>
          <w:p>
            <w:pPr>
              <w:widowControl/>
              <w:spacing w:line="240" w:lineRule="auto"/>
              <w:jc w:val="center"/>
              <w:rPr>
                <w:rFonts w:ascii="仿宋" w:hAnsi="仿宋" w:cs="Arial"/>
                <w:sz w:val="21"/>
                <w:szCs w:val="21"/>
              </w:rPr>
            </w:pPr>
            <w:r>
              <w:rPr>
                <w:rFonts w:hint="eastAsia" w:ascii="仿宋" w:hAnsi="仿宋" w:cs="Arial"/>
                <w:sz w:val="21"/>
                <w:szCs w:val="21"/>
              </w:rPr>
              <w:t>—</w:t>
            </w:r>
          </w:p>
        </w:tc>
        <w:tc>
          <w:tcPr>
            <w:tcW w:w="802"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遵守</w:t>
            </w:r>
          </w:p>
        </w:tc>
        <w:tc>
          <w:tcPr>
            <w:tcW w:w="800" w:type="pct"/>
            <w:vAlign w:val="center"/>
          </w:tcPr>
          <w:p>
            <w:pPr>
              <w:widowControl/>
              <w:spacing w:line="240" w:lineRule="auto"/>
              <w:jc w:val="center"/>
              <w:rPr>
                <w:rFonts w:ascii="仿宋" w:hAnsi="仿宋"/>
                <w:sz w:val="21"/>
                <w:szCs w:val="21"/>
              </w:rPr>
            </w:pPr>
            <w:r>
              <w:rPr>
                <w:rFonts w:hint="eastAsia" w:ascii="仿宋" w:hAnsi="仿宋"/>
                <w:sz w:val="21"/>
                <w:szCs w:val="21"/>
              </w:rPr>
              <w:t>遵守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660" w:type="pct"/>
            <w:vMerge w:val="continue"/>
            <w:vAlign w:val="center"/>
          </w:tcPr>
          <w:p>
            <w:pPr>
              <w:widowControl/>
              <w:spacing w:line="240" w:lineRule="auto"/>
              <w:jc w:val="center"/>
              <w:rPr>
                <w:rFonts w:ascii="仿宋" w:hAnsi="仿宋" w:cs="Arial"/>
                <w:kern w:val="0"/>
                <w:sz w:val="21"/>
                <w:szCs w:val="21"/>
              </w:rPr>
            </w:pPr>
          </w:p>
        </w:tc>
        <w:tc>
          <w:tcPr>
            <w:tcW w:w="331" w:type="pct"/>
            <w:tcMar>
              <w:top w:w="15" w:type="dxa"/>
              <w:left w:w="5" w:type="dxa"/>
              <w:bottom w:w="0" w:type="dxa"/>
              <w:right w:w="5" w:type="dxa"/>
            </w:tcMar>
            <w:vAlign w:val="center"/>
          </w:tcPr>
          <w:p>
            <w:pPr>
              <w:widowControl/>
              <w:spacing w:line="240" w:lineRule="auto"/>
              <w:jc w:val="center"/>
              <w:rPr>
                <w:rFonts w:ascii="仿宋" w:hAnsi="仿宋" w:cs="Arial"/>
                <w:kern w:val="0"/>
                <w:sz w:val="21"/>
                <w:szCs w:val="21"/>
              </w:rPr>
            </w:pPr>
            <w:r>
              <w:rPr>
                <w:rFonts w:ascii="仿宋" w:hAnsi="仿宋" w:cs="Arial"/>
                <w:kern w:val="24"/>
                <w:sz w:val="21"/>
                <w:szCs w:val="21"/>
              </w:rPr>
              <w:t>3</w:t>
            </w:r>
          </w:p>
        </w:tc>
        <w:tc>
          <w:tcPr>
            <w:tcW w:w="1907"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受保护地区占国土面积比例</w:t>
            </w:r>
          </w:p>
        </w:tc>
        <w:tc>
          <w:tcPr>
            <w:tcW w:w="499" w:type="pct"/>
            <w:vAlign w:val="center"/>
          </w:tcPr>
          <w:p>
            <w:pPr>
              <w:widowControl/>
              <w:spacing w:line="240" w:lineRule="auto"/>
              <w:jc w:val="center"/>
              <w:rPr>
                <w:rFonts w:ascii="仿宋" w:hAnsi="仿宋" w:cs="Arial"/>
                <w:sz w:val="21"/>
                <w:szCs w:val="21"/>
              </w:rPr>
            </w:pPr>
            <w:r>
              <w:rPr>
                <w:rFonts w:hint="eastAsia" w:ascii="仿宋" w:hAnsi="仿宋" w:cs="Arial"/>
                <w:sz w:val="21"/>
                <w:szCs w:val="21"/>
              </w:rPr>
              <w:t>（</w:t>
            </w:r>
            <w:r>
              <w:rPr>
                <w:rFonts w:ascii="仿宋" w:hAnsi="仿宋" w:cs="Arial"/>
                <w:sz w:val="21"/>
                <w:szCs w:val="21"/>
              </w:rPr>
              <w:t>%）</w:t>
            </w:r>
          </w:p>
        </w:tc>
        <w:tc>
          <w:tcPr>
            <w:tcW w:w="802"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ascii="仿宋" w:hAnsi="仿宋" w:cs="Arial"/>
                <w:sz w:val="21"/>
                <w:szCs w:val="21"/>
              </w:rPr>
              <w:t>57.7</w:t>
            </w:r>
          </w:p>
        </w:tc>
        <w:tc>
          <w:tcPr>
            <w:tcW w:w="800" w:type="pct"/>
            <w:vAlign w:val="center"/>
          </w:tcPr>
          <w:p>
            <w:pPr>
              <w:widowControl/>
              <w:spacing w:line="240" w:lineRule="auto"/>
              <w:jc w:val="center"/>
              <w:rPr>
                <w:rFonts w:ascii="仿宋" w:hAnsi="仿宋"/>
                <w:sz w:val="21"/>
                <w:szCs w:val="21"/>
              </w:rPr>
            </w:pPr>
            <w:r>
              <w:rPr>
                <w:rFonts w:hint="eastAsia" w:ascii="仿宋" w:hAnsi="仿宋"/>
                <w:sz w:val="21"/>
                <w:szCs w:val="21"/>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660" w:type="pct"/>
            <w:vMerge w:val="continue"/>
            <w:vAlign w:val="center"/>
          </w:tcPr>
          <w:p>
            <w:pPr>
              <w:widowControl/>
              <w:spacing w:line="240" w:lineRule="auto"/>
              <w:jc w:val="center"/>
              <w:rPr>
                <w:rFonts w:ascii="仿宋" w:hAnsi="仿宋" w:cs="Arial"/>
                <w:kern w:val="0"/>
                <w:sz w:val="21"/>
                <w:szCs w:val="21"/>
              </w:rPr>
            </w:pPr>
          </w:p>
        </w:tc>
        <w:tc>
          <w:tcPr>
            <w:tcW w:w="331" w:type="pct"/>
            <w:tcMar>
              <w:top w:w="15" w:type="dxa"/>
              <w:left w:w="5" w:type="dxa"/>
              <w:bottom w:w="0" w:type="dxa"/>
              <w:right w:w="5" w:type="dxa"/>
            </w:tcMar>
            <w:vAlign w:val="center"/>
          </w:tcPr>
          <w:p>
            <w:pPr>
              <w:widowControl/>
              <w:spacing w:line="240" w:lineRule="auto"/>
              <w:jc w:val="center"/>
              <w:rPr>
                <w:rFonts w:ascii="仿宋" w:hAnsi="仿宋" w:cs="Arial"/>
                <w:kern w:val="0"/>
                <w:sz w:val="21"/>
                <w:szCs w:val="21"/>
              </w:rPr>
            </w:pPr>
            <w:r>
              <w:rPr>
                <w:rFonts w:ascii="仿宋" w:hAnsi="仿宋" w:cs="Arial"/>
                <w:kern w:val="24"/>
                <w:sz w:val="21"/>
                <w:szCs w:val="21"/>
              </w:rPr>
              <w:t>4</w:t>
            </w:r>
          </w:p>
        </w:tc>
        <w:tc>
          <w:tcPr>
            <w:tcW w:w="1907"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规划环评执行率</w:t>
            </w:r>
          </w:p>
        </w:tc>
        <w:tc>
          <w:tcPr>
            <w:tcW w:w="499" w:type="pct"/>
            <w:vAlign w:val="center"/>
          </w:tcPr>
          <w:p>
            <w:pPr>
              <w:widowControl/>
              <w:spacing w:line="240" w:lineRule="auto"/>
              <w:jc w:val="center"/>
              <w:rPr>
                <w:rFonts w:ascii="仿宋" w:hAnsi="仿宋" w:cs="Arial"/>
                <w:sz w:val="21"/>
                <w:szCs w:val="21"/>
              </w:rPr>
            </w:pPr>
            <w:r>
              <w:rPr>
                <w:rFonts w:hint="eastAsia" w:ascii="仿宋" w:hAnsi="仿宋" w:cs="Arial"/>
                <w:sz w:val="21"/>
                <w:szCs w:val="21"/>
              </w:rPr>
              <w:t>（</w:t>
            </w:r>
            <w:r>
              <w:rPr>
                <w:rFonts w:ascii="仿宋" w:hAnsi="仿宋" w:cs="Arial"/>
                <w:sz w:val="21"/>
                <w:szCs w:val="21"/>
              </w:rPr>
              <w:t>%）</w:t>
            </w:r>
          </w:p>
        </w:tc>
        <w:tc>
          <w:tcPr>
            <w:tcW w:w="802"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ascii="仿宋" w:hAnsi="仿宋" w:cs="Arial"/>
                <w:sz w:val="21"/>
                <w:szCs w:val="21"/>
              </w:rPr>
              <w:t>100</w:t>
            </w:r>
          </w:p>
        </w:tc>
        <w:tc>
          <w:tcPr>
            <w:tcW w:w="800" w:type="pct"/>
            <w:vAlign w:val="center"/>
          </w:tcPr>
          <w:p>
            <w:pPr>
              <w:widowControl/>
              <w:spacing w:line="240" w:lineRule="auto"/>
              <w:jc w:val="center"/>
              <w:rPr>
                <w:rFonts w:ascii="仿宋" w:hAnsi="仿宋"/>
                <w:sz w:val="21"/>
                <w:szCs w:val="21"/>
              </w:rPr>
            </w:pPr>
            <w:r>
              <w:rPr>
                <w:rFonts w:hint="eastAsia" w:ascii="仿宋" w:hAnsi="仿宋"/>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660" w:type="pct"/>
            <w:vMerge w:val="restart"/>
            <w:tcMar>
              <w:top w:w="15" w:type="dxa"/>
              <w:left w:w="17" w:type="dxa"/>
              <w:bottom w:w="0" w:type="dxa"/>
              <w:right w:w="17" w:type="dxa"/>
            </w:tcMar>
            <w:vAlign w:val="center"/>
          </w:tcPr>
          <w:p>
            <w:pPr>
              <w:widowControl/>
              <w:spacing w:line="240" w:lineRule="auto"/>
              <w:jc w:val="center"/>
              <w:rPr>
                <w:rFonts w:ascii="仿宋" w:hAnsi="仿宋" w:cs="Arial"/>
                <w:sz w:val="21"/>
                <w:szCs w:val="21"/>
              </w:rPr>
            </w:pPr>
            <w:r>
              <w:rPr>
                <w:rFonts w:hint="eastAsia" w:ascii="仿宋" w:hAnsi="仿宋" w:cs="Arial"/>
                <w:sz w:val="21"/>
                <w:szCs w:val="21"/>
              </w:rPr>
              <w:t>生态</w:t>
            </w:r>
          </w:p>
          <w:p>
            <w:pPr>
              <w:widowControl/>
              <w:spacing w:line="240" w:lineRule="auto"/>
              <w:jc w:val="center"/>
              <w:rPr>
                <w:rFonts w:ascii="仿宋" w:hAnsi="仿宋" w:cs="Arial"/>
                <w:kern w:val="0"/>
                <w:sz w:val="21"/>
                <w:szCs w:val="21"/>
              </w:rPr>
            </w:pPr>
            <w:r>
              <w:rPr>
                <w:rFonts w:hint="eastAsia" w:ascii="仿宋" w:hAnsi="仿宋" w:cs="Arial"/>
                <w:sz w:val="21"/>
                <w:szCs w:val="21"/>
              </w:rPr>
              <w:t>经济</w:t>
            </w:r>
          </w:p>
        </w:tc>
        <w:tc>
          <w:tcPr>
            <w:tcW w:w="331" w:type="pct"/>
            <w:tcMar>
              <w:top w:w="15" w:type="dxa"/>
              <w:left w:w="5" w:type="dxa"/>
              <w:bottom w:w="0" w:type="dxa"/>
              <w:right w:w="5" w:type="dxa"/>
            </w:tcMar>
            <w:vAlign w:val="center"/>
          </w:tcPr>
          <w:p>
            <w:pPr>
              <w:widowControl/>
              <w:spacing w:line="240" w:lineRule="auto"/>
              <w:jc w:val="center"/>
              <w:rPr>
                <w:rFonts w:ascii="仿宋" w:hAnsi="仿宋" w:cs="Arial"/>
                <w:kern w:val="0"/>
                <w:sz w:val="21"/>
                <w:szCs w:val="21"/>
              </w:rPr>
            </w:pPr>
            <w:r>
              <w:rPr>
                <w:rFonts w:ascii="仿宋" w:hAnsi="仿宋" w:cs="Arial"/>
                <w:kern w:val="24"/>
                <w:sz w:val="21"/>
                <w:szCs w:val="21"/>
              </w:rPr>
              <w:t>5</w:t>
            </w:r>
          </w:p>
        </w:tc>
        <w:tc>
          <w:tcPr>
            <w:tcW w:w="1907"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万元G</w:t>
            </w:r>
            <w:r>
              <w:rPr>
                <w:rFonts w:ascii="仿宋" w:hAnsi="仿宋" w:cs="Arial"/>
                <w:sz w:val="21"/>
                <w:szCs w:val="21"/>
              </w:rPr>
              <w:t>DP</w:t>
            </w:r>
            <w:r>
              <w:rPr>
                <w:rFonts w:hint="eastAsia" w:ascii="仿宋" w:hAnsi="仿宋" w:cs="Arial"/>
                <w:sz w:val="21"/>
                <w:szCs w:val="21"/>
              </w:rPr>
              <w:t>能耗</w:t>
            </w:r>
          </w:p>
        </w:tc>
        <w:tc>
          <w:tcPr>
            <w:tcW w:w="499" w:type="pct"/>
            <w:vAlign w:val="center"/>
          </w:tcPr>
          <w:p>
            <w:pPr>
              <w:widowControl/>
              <w:spacing w:line="240" w:lineRule="auto"/>
              <w:jc w:val="center"/>
              <w:rPr>
                <w:rFonts w:ascii="仿宋" w:hAnsi="仿宋" w:cs="Arial"/>
                <w:sz w:val="21"/>
                <w:szCs w:val="21"/>
              </w:rPr>
            </w:pPr>
            <w:r>
              <w:rPr>
                <w:rFonts w:hint="eastAsia" w:ascii="仿宋" w:hAnsi="仿宋" w:cs="Arial"/>
                <w:sz w:val="21"/>
                <w:szCs w:val="21"/>
              </w:rPr>
              <w:t>%</w:t>
            </w:r>
          </w:p>
        </w:tc>
        <w:tc>
          <w:tcPr>
            <w:tcW w:w="802"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累计下降12%</w:t>
            </w:r>
          </w:p>
        </w:tc>
        <w:tc>
          <w:tcPr>
            <w:tcW w:w="800" w:type="pct"/>
            <w:vAlign w:val="center"/>
          </w:tcPr>
          <w:p>
            <w:pPr>
              <w:spacing w:line="240" w:lineRule="auto"/>
              <w:jc w:val="center"/>
              <w:rPr>
                <w:rFonts w:ascii="仿宋" w:hAnsi="仿宋"/>
                <w:sz w:val="21"/>
                <w:szCs w:val="21"/>
              </w:rPr>
            </w:pPr>
            <w:r>
              <w:rPr>
                <w:rFonts w:hint="eastAsia" w:ascii="仿宋" w:hAnsi="仿宋"/>
                <w:sz w:val="21"/>
                <w:szCs w:val="21"/>
              </w:rPr>
              <w:t>累计下降15.1%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660" w:type="pct"/>
            <w:vMerge w:val="continue"/>
            <w:vAlign w:val="center"/>
          </w:tcPr>
          <w:p>
            <w:pPr>
              <w:widowControl/>
              <w:spacing w:line="240" w:lineRule="auto"/>
              <w:jc w:val="center"/>
              <w:rPr>
                <w:rFonts w:ascii="仿宋" w:hAnsi="仿宋" w:cs="Arial"/>
                <w:kern w:val="0"/>
                <w:sz w:val="21"/>
                <w:szCs w:val="21"/>
              </w:rPr>
            </w:pPr>
          </w:p>
        </w:tc>
        <w:tc>
          <w:tcPr>
            <w:tcW w:w="331" w:type="pct"/>
            <w:tcMar>
              <w:top w:w="15" w:type="dxa"/>
              <w:left w:w="5" w:type="dxa"/>
              <w:bottom w:w="0" w:type="dxa"/>
              <w:right w:w="5" w:type="dxa"/>
            </w:tcMar>
            <w:vAlign w:val="center"/>
          </w:tcPr>
          <w:p>
            <w:pPr>
              <w:widowControl/>
              <w:spacing w:line="240" w:lineRule="auto"/>
              <w:jc w:val="center"/>
              <w:rPr>
                <w:rFonts w:ascii="仿宋" w:hAnsi="仿宋" w:cs="Arial"/>
                <w:kern w:val="0"/>
                <w:sz w:val="21"/>
                <w:szCs w:val="21"/>
              </w:rPr>
            </w:pPr>
            <w:r>
              <w:rPr>
                <w:rFonts w:ascii="仿宋" w:hAnsi="仿宋" w:cs="Arial"/>
                <w:kern w:val="24"/>
                <w:sz w:val="21"/>
                <w:szCs w:val="21"/>
              </w:rPr>
              <w:t>6</w:t>
            </w:r>
          </w:p>
        </w:tc>
        <w:tc>
          <w:tcPr>
            <w:tcW w:w="1907"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万元G</w:t>
            </w:r>
            <w:r>
              <w:rPr>
                <w:rFonts w:ascii="仿宋" w:hAnsi="仿宋" w:cs="Arial"/>
                <w:sz w:val="21"/>
                <w:szCs w:val="21"/>
              </w:rPr>
              <w:t>DP</w:t>
            </w:r>
            <w:r>
              <w:rPr>
                <w:rFonts w:hint="eastAsia" w:ascii="仿宋" w:hAnsi="仿宋" w:cs="Arial"/>
                <w:sz w:val="21"/>
                <w:szCs w:val="21"/>
              </w:rPr>
              <w:t>水耗</w:t>
            </w:r>
          </w:p>
        </w:tc>
        <w:tc>
          <w:tcPr>
            <w:tcW w:w="499" w:type="pct"/>
            <w:vAlign w:val="center"/>
          </w:tcPr>
          <w:p>
            <w:pPr>
              <w:widowControl/>
              <w:spacing w:line="240" w:lineRule="auto"/>
              <w:jc w:val="center"/>
              <w:rPr>
                <w:rFonts w:ascii="仿宋" w:hAnsi="仿宋" w:cs="Arial"/>
                <w:sz w:val="21"/>
                <w:szCs w:val="21"/>
              </w:rPr>
            </w:pPr>
            <w:r>
              <w:rPr>
                <w:rFonts w:hint="eastAsia" w:ascii="仿宋" w:hAnsi="仿宋" w:cs="Arial"/>
                <w:sz w:val="21"/>
                <w:szCs w:val="21"/>
              </w:rPr>
              <w:t>（立方米</w:t>
            </w:r>
            <w:r>
              <w:rPr>
                <w:rFonts w:ascii="仿宋" w:hAnsi="仿宋" w:cs="Arial"/>
                <w:sz w:val="21"/>
                <w:szCs w:val="21"/>
              </w:rPr>
              <w:t>/万元）</w:t>
            </w:r>
          </w:p>
        </w:tc>
        <w:tc>
          <w:tcPr>
            <w:tcW w:w="802"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累计</w:t>
            </w:r>
            <w:r>
              <w:rPr>
                <w:rFonts w:ascii="仿宋" w:hAnsi="仿宋" w:cs="Arial"/>
                <w:sz w:val="21"/>
                <w:szCs w:val="21"/>
              </w:rPr>
              <w:t>下降</w:t>
            </w:r>
            <w:r>
              <w:rPr>
                <w:rFonts w:hint="eastAsia" w:ascii="仿宋" w:hAnsi="仿宋" w:cs="Arial"/>
                <w:sz w:val="21"/>
                <w:szCs w:val="21"/>
              </w:rPr>
              <w:t>10</w:t>
            </w:r>
            <w:r>
              <w:rPr>
                <w:rFonts w:ascii="仿宋" w:hAnsi="仿宋" w:cs="Arial"/>
                <w:sz w:val="21"/>
                <w:szCs w:val="21"/>
              </w:rPr>
              <w:t>%</w:t>
            </w:r>
            <w:r>
              <w:rPr>
                <w:rFonts w:hint="eastAsia" w:ascii="仿宋" w:hAnsi="仿宋" w:cs="Arial"/>
                <w:sz w:val="21"/>
                <w:szCs w:val="21"/>
              </w:rPr>
              <w:t>,达到1</w:t>
            </w:r>
            <w:r>
              <w:rPr>
                <w:rFonts w:ascii="仿宋" w:hAnsi="仿宋" w:cs="Arial"/>
                <w:sz w:val="21"/>
                <w:szCs w:val="21"/>
              </w:rPr>
              <w:t>6.38</w:t>
            </w:r>
            <w:r>
              <w:rPr>
                <w:rFonts w:hint="eastAsia" w:ascii="仿宋" w:hAnsi="仿宋" w:cs="Arial"/>
                <w:sz w:val="21"/>
                <w:szCs w:val="21"/>
              </w:rPr>
              <w:t>立方米</w:t>
            </w:r>
            <w:r>
              <w:rPr>
                <w:rFonts w:ascii="仿宋" w:hAnsi="仿宋" w:cs="Arial"/>
                <w:sz w:val="21"/>
                <w:szCs w:val="21"/>
              </w:rPr>
              <w:t>/万元</w:t>
            </w:r>
          </w:p>
        </w:tc>
        <w:tc>
          <w:tcPr>
            <w:tcW w:w="800" w:type="pct"/>
            <w:vAlign w:val="center"/>
          </w:tcPr>
          <w:p>
            <w:pPr>
              <w:widowControl/>
              <w:spacing w:line="240" w:lineRule="auto"/>
              <w:jc w:val="center"/>
              <w:rPr>
                <w:rFonts w:ascii="仿宋" w:hAnsi="仿宋"/>
                <w:sz w:val="21"/>
                <w:szCs w:val="21"/>
              </w:rPr>
            </w:pPr>
            <w:r>
              <w:rPr>
                <w:rFonts w:hint="eastAsia" w:ascii="仿宋" w:hAnsi="仿宋" w:cs="Arial"/>
                <w:sz w:val="21"/>
                <w:szCs w:val="21"/>
              </w:rPr>
              <w:t>累计</w:t>
            </w:r>
            <w:r>
              <w:rPr>
                <w:rFonts w:ascii="仿宋" w:hAnsi="仿宋" w:cs="Arial"/>
                <w:sz w:val="21"/>
                <w:szCs w:val="21"/>
              </w:rPr>
              <w:t>下降</w:t>
            </w:r>
            <w:r>
              <w:rPr>
                <w:rFonts w:hint="eastAsia" w:ascii="仿宋" w:hAnsi="仿宋" w:cs="Arial"/>
                <w:sz w:val="21"/>
                <w:szCs w:val="21"/>
              </w:rPr>
              <w:t>35.93</w:t>
            </w:r>
            <w:r>
              <w:rPr>
                <w:rFonts w:ascii="仿宋" w:hAnsi="仿宋" w:cs="Arial"/>
                <w:sz w:val="21"/>
                <w:szCs w:val="21"/>
              </w:rPr>
              <w:t>%</w:t>
            </w:r>
            <w:r>
              <w:rPr>
                <w:rFonts w:hint="eastAsia" w:ascii="仿宋" w:hAnsi="仿宋" w:cs="Arial"/>
                <w:sz w:val="21"/>
                <w:szCs w:val="21"/>
              </w:rPr>
              <w:t>，达到</w:t>
            </w:r>
            <w:r>
              <w:rPr>
                <w:rFonts w:ascii="仿宋" w:hAnsi="仿宋" w:cs="Arial"/>
                <w:sz w:val="21"/>
                <w:szCs w:val="21"/>
              </w:rPr>
              <w:t>1</w:t>
            </w:r>
            <w:r>
              <w:rPr>
                <w:rFonts w:hint="eastAsia" w:ascii="仿宋" w:hAnsi="仿宋" w:cs="Arial"/>
                <w:sz w:val="21"/>
                <w:szCs w:val="21"/>
              </w:rPr>
              <w:t>0.9立方米</w:t>
            </w:r>
            <w:r>
              <w:rPr>
                <w:rFonts w:ascii="仿宋" w:hAnsi="仿宋" w:cs="Arial"/>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660" w:type="pct"/>
            <w:vMerge w:val="continue"/>
            <w:vAlign w:val="center"/>
          </w:tcPr>
          <w:p>
            <w:pPr>
              <w:widowControl/>
              <w:spacing w:line="240" w:lineRule="auto"/>
              <w:jc w:val="center"/>
              <w:rPr>
                <w:rFonts w:ascii="仿宋" w:hAnsi="仿宋" w:cs="Arial"/>
                <w:kern w:val="0"/>
                <w:sz w:val="21"/>
                <w:szCs w:val="21"/>
              </w:rPr>
            </w:pPr>
          </w:p>
        </w:tc>
        <w:tc>
          <w:tcPr>
            <w:tcW w:w="331" w:type="pct"/>
            <w:tcMar>
              <w:top w:w="15" w:type="dxa"/>
              <w:left w:w="5" w:type="dxa"/>
              <w:bottom w:w="0" w:type="dxa"/>
              <w:right w:w="5" w:type="dxa"/>
            </w:tcMar>
            <w:vAlign w:val="center"/>
          </w:tcPr>
          <w:p>
            <w:pPr>
              <w:widowControl/>
              <w:spacing w:line="240" w:lineRule="auto"/>
              <w:jc w:val="center"/>
              <w:rPr>
                <w:rFonts w:ascii="仿宋" w:hAnsi="仿宋" w:cs="Arial"/>
                <w:kern w:val="0"/>
                <w:sz w:val="21"/>
                <w:szCs w:val="21"/>
              </w:rPr>
            </w:pPr>
            <w:r>
              <w:rPr>
                <w:rFonts w:ascii="仿宋" w:hAnsi="仿宋" w:cs="Arial"/>
                <w:kern w:val="24"/>
                <w:sz w:val="21"/>
                <w:szCs w:val="21"/>
              </w:rPr>
              <w:t>7</w:t>
            </w:r>
          </w:p>
        </w:tc>
        <w:tc>
          <w:tcPr>
            <w:tcW w:w="1907"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单位工业用地工业增加值</w:t>
            </w:r>
          </w:p>
        </w:tc>
        <w:tc>
          <w:tcPr>
            <w:tcW w:w="499" w:type="pct"/>
            <w:vAlign w:val="center"/>
          </w:tcPr>
          <w:p>
            <w:pPr>
              <w:widowControl/>
              <w:spacing w:line="240" w:lineRule="auto"/>
              <w:jc w:val="center"/>
              <w:rPr>
                <w:rFonts w:ascii="仿宋" w:hAnsi="仿宋" w:cs="Arial"/>
                <w:sz w:val="21"/>
                <w:szCs w:val="21"/>
              </w:rPr>
            </w:pPr>
            <w:r>
              <w:rPr>
                <w:rFonts w:ascii="仿宋" w:hAnsi="仿宋" w:cs="Arial"/>
                <w:sz w:val="21"/>
                <w:szCs w:val="21"/>
              </w:rPr>
              <w:t>(万元/亩)</w:t>
            </w:r>
          </w:p>
        </w:tc>
        <w:tc>
          <w:tcPr>
            <w:tcW w:w="802"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w:t>
            </w:r>
            <w:r>
              <w:rPr>
                <w:rFonts w:ascii="仿宋" w:hAnsi="仿宋" w:cs="Arial"/>
                <w:sz w:val="21"/>
                <w:szCs w:val="21"/>
              </w:rPr>
              <w:t>85</w:t>
            </w:r>
          </w:p>
        </w:tc>
        <w:tc>
          <w:tcPr>
            <w:tcW w:w="800" w:type="pct"/>
            <w:vAlign w:val="center"/>
          </w:tcPr>
          <w:p>
            <w:pPr>
              <w:spacing w:line="240" w:lineRule="auto"/>
              <w:jc w:val="center"/>
              <w:rPr>
                <w:rFonts w:ascii="仿宋" w:hAnsi="仿宋"/>
                <w:sz w:val="21"/>
                <w:szCs w:val="21"/>
              </w:rPr>
            </w:pPr>
            <w:r>
              <w:rPr>
                <w:rFonts w:hint="eastAsia" w:ascii="仿宋" w:hAnsi="仿宋" w:cs="Arial"/>
                <w:kern w:val="0"/>
                <w:sz w:val="21"/>
                <w:szCs w:val="21"/>
              </w:rPr>
              <w:t>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660" w:type="pct"/>
            <w:vMerge w:val="continue"/>
            <w:vAlign w:val="center"/>
          </w:tcPr>
          <w:p>
            <w:pPr>
              <w:widowControl/>
              <w:spacing w:line="240" w:lineRule="auto"/>
              <w:jc w:val="center"/>
              <w:rPr>
                <w:rFonts w:ascii="仿宋" w:hAnsi="仿宋" w:cs="Arial"/>
                <w:kern w:val="0"/>
                <w:sz w:val="21"/>
                <w:szCs w:val="21"/>
              </w:rPr>
            </w:pPr>
          </w:p>
        </w:tc>
        <w:tc>
          <w:tcPr>
            <w:tcW w:w="331" w:type="pct"/>
            <w:tcMar>
              <w:top w:w="15" w:type="dxa"/>
              <w:left w:w="5" w:type="dxa"/>
              <w:bottom w:w="0" w:type="dxa"/>
              <w:right w:w="5" w:type="dxa"/>
            </w:tcMar>
            <w:vAlign w:val="center"/>
          </w:tcPr>
          <w:p>
            <w:pPr>
              <w:widowControl/>
              <w:spacing w:line="240" w:lineRule="auto"/>
              <w:jc w:val="center"/>
              <w:rPr>
                <w:rFonts w:ascii="仿宋" w:hAnsi="仿宋" w:cs="Arial"/>
                <w:kern w:val="0"/>
                <w:sz w:val="21"/>
                <w:szCs w:val="21"/>
              </w:rPr>
            </w:pPr>
            <w:r>
              <w:rPr>
                <w:rFonts w:ascii="仿宋" w:hAnsi="仿宋" w:cs="Arial"/>
                <w:kern w:val="24"/>
                <w:sz w:val="21"/>
                <w:szCs w:val="21"/>
              </w:rPr>
              <w:t>8</w:t>
            </w:r>
          </w:p>
        </w:tc>
        <w:tc>
          <w:tcPr>
            <w:tcW w:w="1907"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hint="eastAsia" w:ascii="仿宋" w:hAnsi="仿宋" w:cs="Arial"/>
                <w:sz w:val="21"/>
                <w:szCs w:val="21"/>
              </w:rPr>
              <w:t>应当实施强制性清洁生产企业通过审核的比例</w:t>
            </w:r>
          </w:p>
        </w:tc>
        <w:tc>
          <w:tcPr>
            <w:tcW w:w="499" w:type="pct"/>
            <w:vAlign w:val="center"/>
          </w:tcPr>
          <w:p>
            <w:pPr>
              <w:widowControl/>
              <w:spacing w:line="240" w:lineRule="auto"/>
              <w:jc w:val="center"/>
              <w:rPr>
                <w:rFonts w:ascii="仿宋" w:hAnsi="仿宋" w:cs="Arial"/>
                <w:sz w:val="21"/>
                <w:szCs w:val="21"/>
              </w:rPr>
            </w:pPr>
            <w:r>
              <w:rPr>
                <w:rFonts w:hint="eastAsia" w:ascii="仿宋" w:hAnsi="仿宋" w:cs="Arial"/>
                <w:sz w:val="21"/>
                <w:szCs w:val="21"/>
              </w:rPr>
              <w:t>（</w:t>
            </w:r>
            <w:r>
              <w:rPr>
                <w:rFonts w:ascii="仿宋" w:hAnsi="仿宋" w:cs="Arial"/>
                <w:sz w:val="21"/>
                <w:szCs w:val="21"/>
              </w:rPr>
              <w:t>%）</w:t>
            </w:r>
          </w:p>
        </w:tc>
        <w:tc>
          <w:tcPr>
            <w:tcW w:w="802" w:type="pct"/>
            <w:tcMar>
              <w:top w:w="15" w:type="dxa"/>
              <w:left w:w="17" w:type="dxa"/>
              <w:bottom w:w="0" w:type="dxa"/>
              <w:right w:w="17" w:type="dxa"/>
            </w:tcMar>
            <w:vAlign w:val="center"/>
          </w:tcPr>
          <w:p>
            <w:pPr>
              <w:widowControl/>
              <w:spacing w:line="240" w:lineRule="auto"/>
              <w:jc w:val="center"/>
              <w:rPr>
                <w:rFonts w:ascii="仿宋" w:hAnsi="仿宋" w:cs="Arial"/>
                <w:kern w:val="0"/>
                <w:sz w:val="21"/>
                <w:szCs w:val="21"/>
              </w:rPr>
            </w:pPr>
            <w:r>
              <w:rPr>
                <w:rFonts w:ascii="仿宋" w:hAnsi="仿宋" w:cs="Arial"/>
                <w:sz w:val="21"/>
                <w:szCs w:val="21"/>
              </w:rPr>
              <w:t>100</w:t>
            </w:r>
          </w:p>
        </w:tc>
        <w:tc>
          <w:tcPr>
            <w:tcW w:w="800" w:type="pct"/>
            <w:vAlign w:val="center"/>
          </w:tcPr>
          <w:p>
            <w:pPr>
              <w:spacing w:line="240" w:lineRule="auto"/>
              <w:jc w:val="center"/>
              <w:rPr>
                <w:rFonts w:ascii="仿宋" w:hAnsi="仿宋"/>
                <w:sz w:val="21"/>
                <w:szCs w:val="21"/>
              </w:rPr>
            </w:pPr>
            <w:r>
              <w:rPr>
                <w:rFonts w:ascii="仿宋" w:hAnsi="仿宋"/>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660" w:type="pct"/>
            <w:vMerge w:val="restar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生态</w:t>
            </w:r>
          </w:p>
          <w:p>
            <w:pPr>
              <w:spacing w:line="240" w:lineRule="auto"/>
              <w:jc w:val="center"/>
              <w:rPr>
                <w:rFonts w:ascii="仿宋" w:hAnsi="仿宋"/>
                <w:sz w:val="21"/>
                <w:szCs w:val="21"/>
              </w:rPr>
            </w:pPr>
            <w:r>
              <w:rPr>
                <w:rFonts w:hint="eastAsia" w:ascii="仿宋" w:hAnsi="仿宋"/>
                <w:sz w:val="21"/>
                <w:szCs w:val="21"/>
              </w:rPr>
              <w:t>环境</w:t>
            </w: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9</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环境空气质量优良天数比例</w:t>
            </w:r>
          </w:p>
        </w:tc>
        <w:tc>
          <w:tcPr>
            <w:tcW w:w="499" w:type="pct"/>
            <w:vAlign w:val="center"/>
          </w:tcPr>
          <w:p>
            <w:pPr>
              <w:spacing w:line="240" w:lineRule="auto"/>
              <w:jc w:val="center"/>
              <w:rPr>
                <w:rFonts w:ascii="仿宋" w:hAnsi="仿宋"/>
                <w:sz w:val="21"/>
                <w:szCs w:val="21"/>
              </w:rPr>
            </w:pP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96</w:t>
            </w:r>
          </w:p>
        </w:tc>
        <w:tc>
          <w:tcPr>
            <w:tcW w:w="800" w:type="pct"/>
            <w:vAlign w:val="center"/>
          </w:tcPr>
          <w:p>
            <w:pPr>
              <w:spacing w:line="240" w:lineRule="auto"/>
              <w:jc w:val="center"/>
              <w:rPr>
                <w:rFonts w:ascii="仿宋" w:hAnsi="仿宋"/>
                <w:sz w:val="21"/>
                <w:szCs w:val="21"/>
              </w:rPr>
            </w:pPr>
            <w:r>
              <w:rPr>
                <w:rFonts w:ascii="仿宋" w:hAnsi="仿宋"/>
                <w:sz w:val="21"/>
                <w:szCs w:val="21"/>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10</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地表水环境质量水质达到或优于Ⅲ类的比例</w:t>
            </w:r>
          </w:p>
        </w:tc>
        <w:tc>
          <w:tcPr>
            <w:tcW w:w="499" w:type="pct"/>
            <w:vAlign w:val="center"/>
          </w:tcPr>
          <w:p>
            <w:pPr>
              <w:spacing w:line="240" w:lineRule="auto"/>
              <w:jc w:val="center"/>
              <w:rPr>
                <w:rFonts w:ascii="仿宋" w:hAnsi="仿宋"/>
                <w:sz w:val="21"/>
                <w:szCs w:val="21"/>
              </w:rPr>
            </w:pP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70</w:t>
            </w:r>
          </w:p>
        </w:tc>
        <w:tc>
          <w:tcPr>
            <w:tcW w:w="800" w:type="pct"/>
            <w:vAlign w:val="center"/>
          </w:tcPr>
          <w:p>
            <w:pPr>
              <w:spacing w:line="240" w:lineRule="auto"/>
              <w:jc w:val="center"/>
              <w:rPr>
                <w:rFonts w:ascii="仿宋" w:hAnsi="仿宋" w:eastAsia="宋体"/>
                <w:sz w:val="21"/>
                <w:szCs w:val="21"/>
              </w:rPr>
            </w:pPr>
            <w:r>
              <w:rPr>
                <w:rFonts w:hint="eastAsia" w:ascii="仿宋" w:hAnsi="仿宋" w:eastAsia="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11</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厦门湾局部海域水质优良（Ⅰ、Ⅱ类）比例</w:t>
            </w:r>
          </w:p>
        </w:tc>
        <w:tc>
          <w:tcPr>
            <w:tcW w:w="499" w:type="pct"/>
            <w:vAlign w:val="center"/>
          </w:tcPr>
          <w:p>
            <w:pPr>
              <w:spacing w:line="240" w:lineRule="auto"/>
              <w:jc w:val="center"/>
              <w:rPr>
                <w:rFonts w:ascii="仿宋" w:hAnsi="仿宋"/>
                <w:sz w:val="21"/>
                <w:szCs w:val="21"/>
              </w:rPr>
            </w:pP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65.2</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12</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土壤环境质量改善目标</w:t>
            </w:r>
          </w:p>
        </w:tc>
        <w:tc>
          <w:tcPr>
            <w:tcW w:w="499" w:type="pct"/>
            <w:vAlign w:val="center"/>
          </w:tcPr>
          <w:p>
            <w:pPr>
              <w:spacing w:line="240" w:lineRule="auto"/>
              <w:jc w:val="center"/>
              <w:rPr>
                <w:rFonts w:ascii="仿宋" w:hAnsi="仿宋"/>
                <w:sz w:val="21"/>
                <w:szCs w:val="21"/>
              </w:rPr>
            </w:pPr>
            <w:r>
              <w:rPr>
                <w:rFonts w:hint="eastAsia" w:ascii="仿宋" w:hAnsi="仿宋" w:cs="Arial"/>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不降低且达到考核要求</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完成国家、省下达任务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13</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主要污染物总量减排</w:t>
            </w:r>
          </w:p>
        </w:tc>
        <w:tc>
          <w:tcPr>
            <w:tcW w:w="499" w:type="pct"/>
            <w:vAlign w:val="center"/>
          </w:tcPr>
          <w:p>
            <w:pPr>
              <w:spacing w:line="240" w:lineRule="auto"/>
              <w:jc w:val="center"/>
              <w:rPr>
                <w:rFonts w:ascii="仿宋" w:hAnsi="仿宋"/>
                <w:sz w:val="21"/>
                <w:szCs w:val="21"/>
              </w:rPr>
            </w:pPr>
            <w:r>
              <w:rPr>
                <w:rFonts w:hint="eastAsia" w:ascii="仿宋" w:hAnsi="仿宋" w:cs="Arial"/>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达到考核要求</w:t>
            </w:r>
          </w:p>
        </w:tc>
        <w:tc>
          <w:tcPr>
            <w:tcW w:w="800" w:type="pct"/>
            <w:vAlign w:val="center"/>
          </w:tcPr>
          <w:p>
            <w:pPr>
              <w:spacing w:line="240" w:lineRule="auto"/>
              <w:jc w:val="center"/>
              <w:rPr>
                <w:rFonts w:ascii="仿宋" w:hAnsi="仿宋"/>
                <w:color w:val="000000"/>
                <w:sz w:val="21"/>
                <w:szCs w:val="21"/>
              </w:rPr>
            </w:pPr>
            <w:r>
              <w:rPr>
                <w:rFonts w:hint="eastAsia" w:ascii="仿宋" w:hAnsi="仿宋"/>
                <w:sz w:val="21"/>
                <w:szCs w:val="21"/>
              </w:rPr>
              <w:t>完成国家、省下达任务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14</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森林覆盖率</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40.33</w:t>
            </w:r>
          </w:p>
        </w:tc>
        <w:tc>
          <w:tcPr>
            <w:tcW w:w="800" w:type="pct"/>
            <w:vAlign w:val="center"/>
          </w:tcPr>
          <w:p>
            <w:pPr>
              <w:spacing w:line="240" w:lineRule="auto"/>
              <w:jc w:val="center"/>
              <w:rPr>
                <w:rFonts w:ascii="仿宋" w:hAnsi="仿宋"/>
                <w:color w:val="000000"/>
                <w:sz w:val="21"/>
                <w:szCs w:val="21"/>
              </w:rPr>
            </w:pPr>
            <w:r>
              <w:rPr>
                <w:rFonts w:ascii="仿宋" w:hAnsi="仿宋"/>
                <w:color w:val="000000"/>
                <w:sz w:val="21"/>
                <w:szCs w:val="21"/>
              </w:rPr>
              <w:t>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15</w:t>
            </w:r>
          </w:p>
        </w:tc>
        <w:tc>
          <w:tcPr>
            <w:tcW w:w="1907" w:type="pct"/>
            <w:tcMar>
              <w:top w:w="15" w:type="dxa"/>
              <w:left w:w="17" w:type="dxa"/>
              <w:bottom w:w="0" w:type="dxa"/>
              <w:right w:w="17" w:type="dxa"/>
            </w:tcMar>
            <w:vAlign w:val="center"/>
          </w:tcPr>
          <w:p>
            <w:pPr>
              <w:spacing w:line="240" w:lineRule="auto"/>
              <w:rPr>
                <w:rFonts w:ascii="仿宋" w:hAnsi="仿宋"/>
                <w:sz w:val="21"/>
                <w:szCs w:val="21"/>
              </w:rPr>
            </w:pPr>
            <w:r>
              <w:rPr>
                <w:rFonts w:hint="eastAsia" w:ascii="仿宋" w:hAnsi="仿宋"/>
                <w:sz w:val="21"/>
                <w:szCs w:val="21"/>
              </w:rPr>
              <w:t>生物物种资源保护：</w:t>
            </w:r>
          </w:p>
          <w:p>
            <w:pPr>
              <w:spacing w:line="240" w:lineRule="auto"/>
              <w:jc w:val="center"/>
              <w:rPr>
                <w:rFonts w:ascii="仿宋" w:hAnsi="仿宋"/>
                <w:sz w:val="21"/>
                <w:szCs w:val="21"/>
              </w:rPr>
            </w:pPr>
            <w:r>
              <w:rPr>
                <w:rFonts w:hint="eastAsia" w:ascii="仿宋" w:hAnsi="仿宋"/>
                <w:sz w:val="21"/>
                <w:szCs w:val="21"/>
              </w:rPr>
              <w:t>重点保护物种受到严格保护</w:t>
            </w:r>
          </w:p>
          <w:p>
            <w:pPr>
              <w:spacing w:line="240" w:lineRule="auto"/>
              <w:jc w:val="center"/>
              <w:rPr>
                <w:rFonts w:ascii="仿宋" w:hAnsi="仿宋"/>
                <w:sz w:val="21"/>
                <w:szCs w:val="21"/>
              </w:rPr>
            </w:pPr>
            <w:r>
              <w:rPr>
                <w:rFonts w:hint="eastAsia" w:ascii="仿宋" w:hAnsi="仿宋"/>
                <w:sz w:val="21"/>
                <w:szCs w:val="21"/>
              </w:rPr>
              <w:t>外来物种入侵</w:t>
            </w:r>
          </w:p>
        </w:tc>
        <w:tc>
          <w:tcPr>
            <w:tcW w:w="499" w:type="pct"/>
            <w:vAlign w:val="center"/>
          </w:tcPr>
          <w:p>
            <w:pPr>
              <w:spacing w:line="240" w:lineRule="auto"/>
              <w:jc w:val="center"/>
              <w:rPr>
                <w:rFonts w:ascii="仿宋" w:hAnsi="仿宋"/>
                <w:sz w:val="21"/>
                <w:szCs w:val="21"/>
              </w:rPr>
            </w:pPr>
            <w:r>
              <w:rPr>
                <w:rFonts w:hint="eastAsia" w:ascii="仿宋" w:hAnsi="仿宋" w:cs="Arial"/>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p>
          <w:p>
            <w:pPr>
              <w:spacing w:line="240" w:lineRule="auto"/>
              <w:jc w:val="center"/>
              <w:rPr>
                <w:rFonts w:ascii="仿宋" w:hAnsi="仿宋"/>
                <w:sz w:val="21"/>
                <w:szCs w:val="21"/>
              </w:rPr>
            </w:pPr>
            <w:r>
              <w:rPr>
                <w:rFonts w:hint="eastAsia" w:ascii="仿宋" w:hAnsi="仿宋"/>
                <w:sz w:val="21"/>
                <w:szCs w:val="21"/>
              </w:rPr>
              <w:t>执行</w:t>
            </w:r>
          </w:p>
          <w:p>
            <w:pPr>
              <w:spacing w:line="240" w:lineRule="auto"/>
              <w:jc w:val="center"/>
              <w:rPr>
                <w:rFonts w:ascii="仿宋" w:hAnsi="仿宋"/>
                <w:sz w:val="21"/>
                <w:szCs w:val="21"/>
              </w:rPr>
            </w:pPr>
            <w:r>
              <w:rPr>
                <w:rFonts w:hint="eastAsia" w:ascii="仿宋" w:hAnsi="仿宋"/>
                <w:sz w:val="21"/>
                <w:szCs w:val="21"/>
              </w:rPr>
              <w:t>不明显</w:t>
            </w:r>
          </w:p>
        </w:tc>
        <w:tc>
          <w:tcPr>
            <w:tcW w:w="800" w:type="pct"/>
            <w:vAlign w:val="center"/>
          </w:tcPr>
          <w:p>
            <w:pPr>
              <w:spacing w:line="240" w:lineRule="auto"/>
              <w:jc w:val="center"/>
              <w:rPr>
                <w:rFonts w:ascii="仿宋" w:hAnsi="仿宋"/>
                <w:color w:val="000000"/>
                <w:sz w:val="21"/>
                <w:szCs w:val="21"/>
              </w:rPr>
            </w:pPr>
          </w:p>
          <w:p>
            <w:pPr>
              <w:spacing w:line="240" w:lineRule="auto"/>
              <w:jc w:val="center"/>
              <w:rPr>
                <w:rFonts w:ascii="仿宋" w:hAnsi="仿宋"/>
                <w:color w:val="000000"/>
                <w:sz w:val="21"/>
                <w:szCs w:val="21"/>
              </w:rPr>
            </w:pPr>
            <w:r>
              <w:rPr>
                <w:rFonts w:hint="eastAsia" w:ascii="仿宋" w:hAnsi="仿宋"/>
                <w:color w:val="000000"/>
                <w:sz w:val="21"/>
                <w:szCs w:val="21"/>
              </w:rPr>
              <w:t>执行</w:t>
            </w:r>
          </w:p>
          <w:p>
            <w:pPr>
              <w:spacing w:line="240" w:lineRule="auto"/>
              <w:jc w:val="center"/>
              <w:rPr>
                <w:rFonts w:ascii="仿宋" w:hAnsi="仿宋"/>
                <w:color w:val="000000"/>
                <w:sz w:val="21"/>
                <w:szCs w:val="21"/>
              </w:rPr>
            </w:pPr>
            <w:r>
              <w:rPr>
                <w:rFonts w:hint="eastAsia" w:ascii="仿宋" w:hAnsi="仿宋"/>
                <w:color w:val="000000"/>
                <w:sz w:val="21"/>
                <w:szCs w:val="21"/>
              </w:rPr>
              <w:t>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16</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危险废物安全处置率</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100</w:t>
            </w:r>
          </w:p>
        </w:tc>
        <w:tc>
          <w:tcPr>
            <w:tcW w:w="800" w:type="pct"/>
            <w:vAlign w:val="center"/>
          </w:tcPr>
          <w:p>
            <w:pPr>
              <w:spacing w:line="240" w:lineRule="auto"/>
              <w:jc w:val="center"/>
              <w:rPr>
                <w:rFonts w:ascii="仿宋" w:hAnsi="仿宋"/>
                <w:color w:val="000000"/>
                <w:sz w:val="21"/>
                <w:szCs w:val="21"/>
              </w:rPr>
            </w:pPr>
            <w:r>
              <w:rPr>
                <w:rFonts w:ascii="仿宋" w:hAnsi="仿宋"/>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17</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污染场地环境监管体系</w:t>
            </w:r>
          </w:p>
        </w:tc>
        <w:tc>
          <w:tcPr>
            <w:tcW w:w="499" w:type="pct"/>
            <w:vAlign w:val="center"/>
          </w:tcPr>
          <w:p>
            <w:pPr>
              <w:spacing w:line="240" w:lineRule="auto"/>
              <w:jc w:val="center"/>
              <w:rPr>
                <w:rFonts w:ascii="仿宋" w:hAnsi="仿宋"/>
                <w:sz w:val="21"/>
                <w:szCs w:val="21"/>
              </w:rPr>
            </w:pPr>
            <w:r>
              <w:rPr>
                <w:rFonts w:hint="eastAsia" w:ascii="仿宋" w:hAnsi="仿宋" w:cs="Arial"/>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建立</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18</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重</w:t>
            </w:r>
            <w:bookmarkStart w:id="34" w:name="_GoBack"/>
            <w:bookmarkEnd w:id="34"/>
            <w:r>
              <w:rPr>
                <w:rFonts w:hint="eastAsia" w:ascii="仿宋" w:hAnsi="仿宋"/>
                <w:sz w:val="21"/>
                <w:szCs w:val="21"/>
              </w:rPr>
              <w:t>特大突发环境事件</w:t>
            </w:r>
          </w:p>
        </w:tc>
        <w:tc>
          <w:tcPr>
            <w:tcW w:w="499" w:type="pct"/>
            <w:vAlign w:val="center"/>
          </w:tcPr>
          <w:p>
            <w:pPr>
              <w:spacing w:line="240" w:lineRule="auto"/>
              <w:jc w:val="center"/>
              <w:rPr>
                <w:rFonts w:ascii="仿宋" w:hAnsi="仿宋"/>
                <w:sz w:val="21"/>
                <w:szCs w:val="21"/>
              </w:rPr>
            </w:pPr>
            <w:r>
              <w:rPr>
                <w:rFonts w:hint="eastAsia" w:ascii="仿宋" w:hAnsi="仿宋" w:cs="Arial"/>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未发生</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未发生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60" w:type="pct"/>
            <w:vMerge w:val="restar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生态</w:t>
            </w:r>
          </w:p>
          <w:p>
            <w:pPr>
              <w:spacing w:line="240" w:lineRule="auto"/>
              <w:jc w:val="center"/>
              <w:rPr>
                <w:rFonts w:ascii="仿宋" w:hAnsi="仿宋"/>
                <w:sz w:val="21"/>
                <w:szCs w:val="21"/>
              </w:rPr>
            </w:pPr>
            <w:r>
              <w:rPr>
                <w:rFonts w:hint="eastAsia" w:ascii="仿宋" w:hAnsi="仿宋"/>
                <w:sz w:val="21"/>
                <w:szCs w:val="21"/>
              </w:rPr>
              <w:t>生活</w:t>
            </w: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19</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集中式饮用水源地水质优良比例</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100</w:t>
            </w:r>
          </w:p>
        </w:tc>
        <w:tc>
          <w:tcPr>
            <w:tcW w:w="800" w:type="pct"/>
            <w:vAlign w:val="center"/>
          </w:tcPr>
          <w:p>
            <w:pPr>
              <w:spacing w:line="240" w:lineRule="auto"/>
              <w:jc w:val="center"/>
              <w:rPr>
                <w:rFonts w:ascii="仿宋" w:hAnsi="仿宋"/>
                <w:color w:val="000000"/>
                <w:sz w:val="21"/>
                <w:szCs w:val="21"/>
              </w:rPr>
            </w:pPr>
            <w:r>
              <w:rPr>
                <w:rFonts w:ascii="仿宋" w:hAnsi="仿宋"/>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20</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城镇污水处理率</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95</w:t>
            </w:r>
          </w:p>
        </w:tc>
        <w:tc>
          <w:tcPr>
            <w:tcW w:w="800" w:type="pct"/>
            <w:vAlign w:val="center"/>
          </w:tcPr>
          <w:p>
            <w:pPr>
              <w:spacing w:line="240" w:lineRule="auto"/>
              <w:jc w:val="center"/>
              <w:rPr>
                <w:rFonts w:ascii="仿宋" w:hAnsi="仿宋"/>
                <w:color w:val="D99594"/>
                <w:sz w:val="21"/>
                <w:szCs w:val="21"/>
              </w:rPr>
            </w:pPr>
            <w:r>
              <w:rPr>
                <w:rFonts w:hint="eastAsia" w:ascii="仿宋" w:hAnsi="仿宋"/>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21</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城镇生活垃圾无害处理率</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100</w:t>
            </w:r>
          </w:p>
        </w:tc>
        <w:tc>
          <w:tcPr>
            <w:tcW w:w="800" w:type="pct"/>
            <w:vAlign w:val="center"/>
          </w:tcPr>
          <w:p>
            <w:pPr>
              <w:spacing w:line="240" w:lineRule="auto"/>
              <w:jc w:val="center"/>
              <w:rPr>
                <w:rFonts w:ascii="仿宋" w:hAnsi="仿宋"/>
                <w:color w:val="000000"/>
                <w:sz w:val="21"/>
                <w:szCs w:val="21"/>
              </w:rPr>
            </w:pPr>
            <w:r>
              <w:rPr>
                <w:rFonts w:ascii="仿宋" w:hAnsi="仿宋"/>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22</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城镇人均公园绿地面积</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（平方米／人）</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11</w:t>
            </w:r>
          </w:p>
        </w:tc>
        <w:tc>
          <w:tcPr>
            <w:tcW w:w="800" w:type="pct"/>
            <w:vAlign w:val="center"/>
          </w:tcPr>
          <w:p>
            <w:pPr>
              <w:spacing w:line="240" w:lineRule="auto"/>
              <w:jc w:val="center"/>
              <w:rPr>
                <w:rFonts w:ascii="仿宋" w:hAnsi="仿宋"/>
                <w:color w:val="000000"/>
                <w:sz w:val="21"/>
                <w:szCs w:val="21"/>
              </w:rPr>
            </w:pPr>
            <w:r>
              <w:rPr>
                <w:rFonts w:ascii="仿宋" w:hAnsi="仿宋"/>
                <w:color w:val="000000"/>
                <w:sz w:val="21"/>
                <w:szCs w:val="21"/>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23</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城镇新建绿色建筑比例</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50</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71.69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24</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公众绿色出行率</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64</w:t>
            </w:r>
          </w:p>
        </w:tc>
        <w:tc>
          <w:tcPr>
            <w:tcW w:w="800" w:type="pct"/>
            <w:vAlign w:val="center"/>
          </w:tcPr>
          <w:p>
            <w:pPr>
              <w:spacing w:line="240" w:lineRule="auto"/>
              <w:jc w:val="center"/>
              <w:rPr>
                <w:rFonts w:ascii="仿宋" w:hAnsi="仿宋"/>
                <w:color w:val="000000"/>
                <w:sz w:val="21"/>
                <w:szCs w:val="21"/>
              </w:rPr>
            </w:pPr>
            <w:r>
              <w:rPr>
                <w:rFonts w:ascii="仿宋" w:hAnsi="仿宋"/>
                <w:color w:val="00000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25</w:t>
            </w:r>
          </w:p>
        </w:tc>
        <w:tc>
          <w:tcPr>
            <w:tcW w:w="1907" w:type="pct"/>
            <w:tcMar>
              <w:top w:w="15" w:type="dxa"/>
              <w:left w:w="5" w:type="dxa"/>
              <w:bottom w:w="0" w:type="dxa"/>
              <w:right w:w="5" w:type="dxa"/>
            </w:tcMar>
            <w:vAlign w:val="center"/>
          </w:tcPr>
          <w:p>
            <w:pPr>
              <w:spacing w:line="240" w:lineRule="auto"/>
              <w:rPr>
                <w:rFonts w:ascii="仿宋" w:hAnsi="仿宋"/>
                <w:sz w:val="21"/>
                <w:szCs w:val="21"/>
              </w:rPr>
            </w:pPr>
            <w:r>
              <w:rPr>
                <w:rFonts w:hint="eastAsia" w:ascii="仿宋" w:hAnsi="仿宋"/>
                <w:sz w:val="21"/>
                <w:szCs w:val="21"/>
              </w:rPr>
              <w:t>节能、节水器具普及率：</w:t>
            </w:r>
          </w:p>
          <w:p>
            <w:pPr>
              <w:spacing w:line="240" w:lineRule="auto"/>
              <w:jc w:val="center"/>
              <w:rPr>
                <w:rFonts w:ascii="仿宋" w:hAnsi="仿宋"/>
                <w:sz w:val="21"/>
                <w:szCs w:val="21"/>
              </w:rPr>
            </w:pPr>
            <w:r>
              <w:rPr>
                <w:rFonts w:hint="eastAsia" w:ascii="仿宋" w:hAnsi="仿宋"/>
                <w:sz w:val="21"/>
                <w:szCs w:val="21"/>
              </w:rPr>
              <w:t>具有能效标识节能器具普及率</w:t>
            </w:r>
          </w:p>
          <w:p>
            <w:pPr>
              <w:spacing w:line="240" w:lineRule="auto"/>
              <w:jc w:val="center"/>
              <w:rPr>
                <w:rFonts w:ascii="仿宋" w:hAnsi="仿宋"/>
                <w:sz w:val="21"/>
                <w:szCs w:val="21"/>
              </w:rPr>
            </w:pPr>
            <w:r>
              <w:rPr>
                <w:rFonts w:hint="eastAsia" w:ascii="仿宋" w:hAnsi="仿宋"/>
                <w:sz w:val="21"/>
                <w:szCs w:val="21"/>
              </w:rPr>
              <w:t>节水器具普及率</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p>
          <w:p>
            <w:pPr>
              <w:spacing w:line="240" w:lineRule="auto"/>
              <w:jc w:val="center"/>
              <w:rPr>
                <w:rFonts w:ascii="仿宋" w:hAnsi="仿宋"/>
                <w:sz w:val="21"/>
                <w:szCs w:val="21"/>
              </w:rPr>
            </w:pPr>
            <w:r>
              <w:rPr>
                <w:rFonts w:ascii="仿宋" w:hAnsi="仿宋"/>
                <w:sz w:val="21"/>
                <w:szCs w:val="21"/>
              </w:rPr>
              <w:t>80</w:t>
            </w:r>
          </w:p>
          <w:p>
            <w:pPr>
              <w:spacing w:line="240" w:lineRule="auto"/>
              <w:jc w:val="center"/>
              <w:rPr>
                <w:rFonts w:ascii="仿宋" w:hAnsi="仿宋"/>
                <w:sz w:val="21"/>
                <w:szCs w:val="21"/>
              </w:rPr>
            </w:pPr>
            <w:r>
              <w:rPr>
                <w:rFonts w:ascii="仿宋" w:hAnsi="仿宋"/>
                <w:sz w:val="21"/>
                <w:szCs w:val="21"/>
              </w:rPr>
              <w:t>90</w:t>
            </w:r>
          </w:p>
        </w:tc>
        <w:tc>
          <w:tcPr>
            <w:tcW w:w="800" w:type="pct"/>
            <w:vAlign w:val="center"/>
          </w:tcPr>
          <w:p>
            <w:pPr>
              <w:spacing w:line="240" w:lineRule="auto"/>
              <w:jc w:val="center"/>
              <w:rPr>
                <w:rFonts w:ascii="仿宋" w:hAnsi="仿宋"/>
                <w:color w:val="000000"/>
                <w:sz w:val="21"/>
                <w:szCs w:val="21"/>
              </w:rPr>
            </w:pPr>
          </w:p>
          <w:p>
            <w:pPr>
              <w:spacing w:line="240" w:lineRule="auto"/>
              <w:jc w:val="center"/>
              <w:rPr>
                <w:rFonts w:ascii="仿宋" w:hAnsi="仿宋"/>
                <w:color w:val="000000"/>
                <w:sz w:val="21"/>
                <w:szCs w:val="21"/>
              </w:rPr>
            </w:pPr>
            <w:r>
              <w:rPr>
                <w:rFonts w:hint="eastAsia" w:ascii="仿宋" w:hAnsi="仿宋"/>
                <w:color w:val="000000"/>
                <w:sz w:val="21"/>
                <w:szCs w:val="21"/>
              </w:rPr>
              <w:t>90</w:t>
            </w:r>
          </w:p>
          <w:p>
            <w:pPr>
              <w:spacing w:line="240" w:lineRule="auto"/>
              <w:jc w:val="center"/>
              <w:rPr>
                <w:rFonts w:ascii="仿宋" w:hAnsi="仿宋"/>
                <w:color w:val="000000"/>
                <w:sz w:val="21"/>
                <w:szCs w:val="21"/>
              </w:rPr>
            </w:pPr>
            <w:r>
              <w:rPr>
                <w:rFonts w:hint="eastAsia" w:ascii="仿宋" w:hAnsi="仿宋"/>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26</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政府绿色采购比例</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85</w:t>
            </w:r>
          </w:p>
        </w:tc>
        <w:tc>
          <w:tcPr>
            <w:tcW w:w="800" w:type="pct"/>
            <w:vAlign w:val="center"/>
          </w:tcPr>
          <w:p>
            <w:pPr>
              <w:spacing w:line="240" w:lineRule="auto"/>
              <w:jc w:val="left"/>
              <w:rPr>
                <w:rFonts w:ascii="仿宋" w:hAnsi="仿宋"/>
                <w:color w:val="000000"/>
                <w:sz w:val="15"/>
                <w:szCs w:val="15"/>
              </w:rPr>
            </w:pPr>
            <w:r>
              <w:rPr>
                <w:rFonts w:hint="eastAsia" w:ascii="仿宋" w:hAnsi="仿宋"/>
                <w:color w:val="000000"/>
                <w:sz w:val="15"/>
                <w:szCs w:val="15"/>
              </w:rPr>
              <w:t>节能节水采购：</w:t>
            </w:r>
            <w:r>
              <w:rPr>
                <w:rFonts w:ascii="仿宋" w:hAnsi="仿宋"/>
                <w:color w:val="000000"/>
                <w:sz w:val="15"/>
                <w:szCs w:val="15"/>
              </w:rPr>
              <w:t>93.29%</w:t>
            </w:r>
          </w:p>
          <w:p>
            <w:pPr>
              <w:spacing w:line="240" w:lineRule="auto"/>
              <w:jc w:val="left"/>
              <w:rPr>
                <w:rFonts w:ascii="仿宋" w:hAnsi="仿宋"/>
                <w:color w:val="000000"/>
                <w:sz w:val="21"/>
                <w:szCs w:val="21"/>
              </w:rPr>
            </w:pPr>
            <w:r>
              <w:rPr>
                <w:rFonts w:ascii="仿宋" w:hAnsi="仿宋"/>
                <w:color w:val="000000"/>
                <w:sz w:val="15"/>
                <w:szCs w:val="15"/>
              </w:rPr>
              <w:t>环保采购</w:t>
            </w:r>
            <w:r>
              <w:rPr>
                <w:rFonts w:hint="eastAsia" w:ascii="仿宋" w:hAnsi="仿宋"/>
                <w:color w:val="000000"/>
                <w:sz w:val="15"/>
                <w:szCs w:val="15"/>
              </w:rPr>
              <w:t>：</w:t>
            </w:r>
            <w:r>
              <w:rPr>
                <w:rFonts w:ascii="仿宋" w:hAnsi="仿宋"/>
                <w:color w:val="000000"/>
                <w:sz w:val="15"/>
                <w:szCs w:val="15"/>
              </w:rPr>
              <w:t>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660" w:type="pct"/>
            <w:vMerge w:val="restar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生态</w:t>
            </w:r>
          </w:p>
          <w:p>
            <w:pPr>
              <w:spacing w:line="240" w:lineRule="auto"/>
              <w:jc w:val="center"/>
              <w:rPr>
                <w:rFonts w:ascii="仿宋" w:hAnsi="仿宋"/>
                <w:sz w:val="21"/>
                <w:szCs w:val="21"/>
              </w:rPr>
            </w:pPr>
            <w:r>
              <w:rPr>
                <w:rFonts w:hint="eastAsia" w:ascii="仿宋" w:hAnsi="仿宋"/>
                <w:sz w:val="21"/>
                <w:szCs w:val="21"/>
              </w:rPr>
              <w:t>制度</w:t>
            </w: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27</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生态文明建设规划</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制定实施</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制定实施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28</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生态文明建设工作占党政实绩考核的比例</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25</w:t>
            </w:r>
          </w:p>
        </w:tc>
        <w:tc>
          <w:tcPr>
            <w:tcW w:w="800" w:type="pct"/>
            <w:vAlign w:val="center"/>
          </w:tcPr>
          <w:p>
            <w:pPr>
              <w:spacing w:line="240" w:lineRule="auto"/>
              <w:jc w:val="center"/>
              <w:rPr>
                <w:rFonts w:ascii="仿宋" w:hAnsi="仿宋"/>
                <w:color w:val="000000"/>
                <w:sz w:val="21"/>
                <w:szCs w:val="21"/>
              </w:rPr>
            </w:pPr>
            <w:r>
              <w:rPr>
                <w:rFonts w:ascii="仿宋" w:hAnsi="仿宋"/>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29</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生态环境损害责任追究制度</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建立</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30</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固定源排污许可证覆盖率</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100</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660" w:type="pct"/>
            <w:vMerge w:val="restar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生态</w:t>
            </w:r>
          </w:p>
          <w:p>
            <w:pPr>
              <w:spacing w:line="240" w:lineRule="auto"/>
              <w:jc w:val="center"/>
              <w:rPr>
                <w:rFonts w:ascii="仿宋" w:hAnsi="仿宋"/>
                <w:sz w:val="21"/>
                <w:szCs w:val="21"/>
              </w:rPr>
            </w:pPr>
            <w:r>
              <w:rPr>
                <w:rFonts w:hint="eastAsia" w:ascii="仿宋" w:hAnsi="仿宋"/>
                <w:sz w:val="21"/>
                <w:szCs w:val="21"/>
              </w:rPr>
              <w:t>文化</w:t>
            </w: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31</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党政领导干部参加生态文明培训的人数比例</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100</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32</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环境信息公开率</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r>
              <w:rPr>
                <w:rFonts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100</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660" w:type="pct"/>
            <w:vMerge w:val="continue"/>
            <w:vAlign w:val="center"/>
          </w:tcPr>
          <w:p>
            <w:pPr>
              <w:spacing w:line="240" w:lineRule="auto"/>
              <w:jc w:val="center"/>
              <w:rPr>
                <w:rFonts w:ascii="仿宋" w:hAnsi="仿宋"/>
                <w:sz w:val="21"/>
                <w:szCs w:val="21"/>
              </w:rPr>
            </w:pPr>
          </w:p>
        </w:tc>
        <w:tc>
          <w:tcPr>
            <w:tcW w:w="331"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33</w:t>
            </w:r>
          </w:p>
        </w:tc>
        <w:tc>
          <w:tcPr>
            <w:tcW w:w="1907" w:type="pct"/>
            <w:tcMar>
              <w:top w:w="15" w:type="dxa"/>
              <w:left w:w="17" w:type="dxa"/>
              <w:bottom w:w="0" w:type="dxa"/>
              <w:right w:w="17" w:type="dxa"/>
            </w:tcMar>
            <w:vAlign w:val="center"/>
          </w:tcPr>
          <w:p>
            <w:pPr>
              <w:spacing w:line="240" w:lineRule="auto"/>
              <w:jc w:val="center"/>
              <w:rPr>
                <w:rFonts w:ascii="仿宋" w:hAnsi="仿宋"/>
                <w:sz w:val="21"/>
                <w:szCs w:val="21"/>
              </w:rPr>
            </w:pPr>
            <w:r>
              <w:rPr>
                <w:rFonts w:hint="eastAsia" w:ascii="仿宋" w:hAnsi="仿宋"/>
                <w:sz w:val="21"/>
                <w:szCs w:val="21"/>
              </w:rPr>
              <w:t>公众对生态文明建设的满意度</w:t>
            </w:r>
          </w:p>
        </w:tc>
        <w:tc>
          <w:tcPr>
            <w:tcW w:w="499" w:type="pct"/>
            <w:vAlign w:val="center"/>
          </w:tcPr>
          <w:p>
            <w:pPr>
              <w:spacing w:line="240" w:lineRule="auto"/>
              <w:jc w:val="center"/>
              <w:rPr>
                <w:rFonts w:ascii="仿宋" w:hAnsi="仿宋"/>
                <w:sz w:val="21"/>
                <w:szCs w:val="21"/>
              </w:rPr>
            </w:pPr>
            <w:r>
              <w:rPr>
                <w:rFonts w:hint="eastAsia" w:ascii="仿宋" w:hAnsi="仿宋"/>
                <w:sz w:val="21"/>
                <w:szCs w:val="21"/>
              </w:rPr>
              <w:t>—</w:t>
            </w:r>
          </w:p>
        </w:tc>
        <w:tc>
          <w:tcPr>
            <w:tcW w:w="802" w:type="pct"/>
            <w:tcMar>
              <w:top w:w="15" w:type="dxa"/>
              <w:left w:w="17" w:type="dxa"/>
              <w:bottom w:w="0" w:type="dxa"/>
              <w:right w:w="17" w:type="dxa"/>
            </w:tcMar>
            <w:vAlign w:val="center"/>
          </w:tcPr>
          <w:p>
            <w:pPr>
              <w:spacing w:line="240" w:lineRule="auto"/>
              <w:jc w:val="center"/>
              <w:rPr>
                <w:rFonts w:ascii="仿宋" w:hAnsi="仿宋"/>
                <w:sz w:val="21"/>
                <w:szCs w:val="21"/>
              </w:rPr>
            </w:pPr>
            <w:r>
              <w:rPr>
                <w:rFonts w:ascii="仿宋" w:hAnsi="仿宋"/>
                <w:sz w:val="21"/>
                <w:szCs w:val="21"/>
              </w:rPr>
              <w:t>90</w:t>
            </w:r>
          </w:p>
        </w:tc>
        <w:tc>
          <w:tcPr>
            <w:tcW w:w="800" w:type="pct"/>
            <w:vAlign w:val="center"/>
          </w:tcPr>
          <w:p>
            <w:pPr>
              <w:spacing w:line="240" w:lineRule="auto"/>
              <w:jc w:val="center"/>
              <w:rPr>
                <w:rFonts w:ascii="仿宋" w:hAnsi="仿宋"/>
                <w:color w:val="000000"/>
                <w:sz w:val="21"/>
                <w:szCs w:val="21"/>
              </w:rPr>
            </w:pPr>
            <w:r>
              <w:rPr>
                <w:rFonts w:hint="eastAsia" w:ascii="仿宋" w:hAnsi="仿宋"/>
                <w:color w:val="000000"/>
                <w:sz w:val="21"/>
                <w:szCs w:val="21"/>
              </w:rPr>
              <w:t>94.7</w:t>
            </w:r>
          </w:p>
        </w:tc>
      </w:tr>
    </w:tbl>
    <w:p>
      <w:pPr>
        <w:pStyle w:val="3"/>
      </w:pPr>
      <w:bookmarkStart w:id="3" w:name="_Toc83204008"/>
      <w:r>
        <w:rPr>
          <w:rFonts w:hint="eastAsia"/>
        </w:rPr>
        <w:t>第二节  发展环境</w:t>
      </w:r>
      <w:bookmarkEnd w:id="3"/>
    </w:p>
    <w:p>
      <w:pPr>
        <w:ind w:firstLine="600" w:firstLineChars="200"/>
      </w:pPr>
      <w:r>
        <w:rPr>
          <w:rFonts w:hint="eastAsia"/>
        </w:rPr>
        <w:t>十九大以来，在以习近平同志为核心的党中央坚强领导下，在习近平生态文明思想指引下，我国生态文明建设和生态环境保护取得历史性成就、发生历史性变革。生态环境质量持续改善，社会环保意识全面提升，习近平生态文明思想成为美丽中国建设的根本遵循。</w:t>
      </w:r>
    </w:p>
    <w:p>
      <w:pPr>
        <w:ind w:firstLine="600" w:firstLineChars="200"/>
      </w:pPr>
      <w:r>
        <w:rPr>
          <w:rFonts w:hint="eastAsia"/>
          <w:color w:val="2B2B2B"/>
          <w:shd w:val="clear" w:color="auto" w:fill="FFFFFF"/>
        </w:rPr>
        <w:t>当前，国际形势发生深刻变化，国际环境治理体系发生重大变革，</w:t>
      </w:r>
      <w:r>
        <w:rPr>
          <w:rFonts w:hint="eastAsia"/>
        </w:rPr>
        <w:t>发展中国家亟待解决经济发展与环境治理矛盾的新样本、新模式。</w:t>
      </w:r>
    </w:p>
    <w:p>
      <w:pPr>
        <w:ind w:firstLine="600" w:firstLineChars="200"/>
      </w:pPr>
      <w:r>
        <w:rPr>
          <w:rFonts w:hint="eastAsia"/>
        </w:rPr>
        <w:t>与此同时，我国向世界庄严承诺，中国</w:t>
      </w:r>
      <w:r>
        <w:t>力争于2030年前二氧化碳排放达到峰值，努力争取2060年前实现碳中和</w:t>
      </w:r>
      <w:r>
        <w:rPr>
          <w:rFonts w:hint="eastAsia"/>
        </w:rPr>
        <w:t>，这一宣告</w:t>
      </w:r>
      <w:r>
        <w:t>勾勒出未来</w:t>
      </w:r>
      <w:r>
        <w:rPr>
          <w:rFonts w:hint="eastAsia"/>
        </w:rPr>
        <w:t>40年中国绿色</w:t>
      </w:r>
      <w:r>
        <w:t>低碳</w:t>
      </w:r>
      <w:r>
        <w:rPr>
          <w:rFonts w:hint="eastAsia"/>
        </w:rPr>
        <w:t>循环</w:t>
      </w:r>
      <w:r>
        <w:t>发展的</w:t>
      </w:r>
      <w:r>
        <w:rPr>
          <w:rFonts w:hint="eastAsia"/>
        </w:rPr>
        <w:t>总施工图。“十四五”时期我国生态文明建设将进入以降碳为重点战略方向、推动减污降碳协同增效、促进经济社会发展全面绿色转型、实现生态环境质量改善的关键时期。正确处理经济社会发展与生态保护之间的关系，巩固污染防治攻坚战成果，实施高水平生态环境保护和修复，为全球生态文明建设持续提供生态文明建设新样本和新模式，将成为我国“十四五”生态文明建设的重点。</w:t>
      </w:r>
    </w:p>
    <w:p>
      <w:pPr>
        <w:ind w:firstLine="600" w:firstLineChars="200"/>
      </w:pPr>
      <w:r>
        <w:rPr>
          <w:rFonts w:hint="eastAsia" w:ascii="Arial" w:hAnsi="Arial" w:cs="Arial"/>
          <w:shd w:val="clear" w:color="auto" w:fill="FFFFFF"/>
        </w:rPr>
        <w:t>国内生态文明建设的迫切形势，国际对生态文明新模式的呼唤，中国城市能级的持续提升，技术、资金、人才等优势资源的不断集聚，以及厦门自身良好的生态文明发展基础，都为厦门争取成为生态文明“中国样本”及国际标杆创造良好的发展环境和有利条件。</w:t>
      </w:r>
    </w:p>
    <w:p>
      <w:pPr>
        <w:ind w:firstLine="600" w:firstLineChars="200"/>
      </w:pPr>
      <w:r>
        <w:rPr>
          <w:rFonts w:hint="eastAsia"/>
        </w:rPr>
        <w:t>但是，我们也必须清醒地认识到，厦门市目前仍处于生态环境系统治理的中后期，绿色发展方式未完全形成、重点领域环境问题未彻底解决、自然资源承载能力有待提升、绿色生产生活理念渗透不足，这些都给高标准推进生态文明建设带来较大挑战。同时，相较于深圳、杭州等国内标杆城市，厦门市总体优势不明显；与新加坡、西雅图等国际标杆城市相比在</w:t>
      </w:r>
      <w:bookmarkStart w:id="4" w:name="_Hlk73253467"/>
      <w:r>
        <w:rPr>
          <w:rFonts w:hint="eastAsia"/>
        </w:rPr>
        <w:t>城市治理意识与理念、城乡规划与管理能力、</w:t>
      </w:r>
      <w:bookmarkEnd w:id="4"/>
      <w:r>
        <w:rPr>
          <w:rFonts w:hint="eastAsia"/>
        </w:rPr>
        <w:t>生态环境质量、社会多元共治水平等方面仍有一定差距。</w:t>
      </w:r>
    </w:p>
    <w:p>
      <w:pPr>
        <w:ind w:firstLine="600" w:firstLineChars="200"/>
      </w:pPr>
      <w:r>
        <w:rPr>
          <w:rFonts w:hint="eastAsia"/>
        </w:rPr>
        <w:t>厦门市必须把握机遇，克服自身空间与自然资源约束，补齐环境治理短板，强化人居环境长板，全面提升生态环境质量标准，持续深化生态文明体制改革，进一步将生态文明建设融入经济社会建设各个方面，补短板、锻长板，重创新、强动能，建模式、树标杆，以建设生态文明 “中国样本”为目标，落实美丽厦门与“两高两化”（名词解释4）发展战略，加快推进厦门迈向生态文明建设新高度。</w:t>
      </w:r>
    </w:p>
    <w:p>
      <w:pPr>
        <w:pStyle w:val="2"/>
        <w:spacing w:line="360" w:lineRule="auto"/>
        <w:rPr>
          <w:rFonts w:cs="Arial"/>
          <w:szCs w:val="21"/>
        </w:rPr>
      </w:pPr>
      <w:bookmarkStart w:id="5" w:name="_Toc83204009"/>
      <w:r>
        <w:rPr>
          <w:rFonts w:hint="eastAsia" w:cs="Arial"/>
          <w:szCs w:val="21"/>
        </w:rPr>
        <w:t>第二章  总体要求</w:t>
      </w:r>
      <w:bookmarkEnd w:id="5"/>
    </w:p>
    <w:p>
      <w:pPr>
        <w:pStyle w:val="3"/>
      </w:pPr>
      <w:bookmarkStart w:id="6" w:name="_Toc83204010"/>
      <w:r>
        <w:rPr>
          <w:rFonts w:hint="eastAsia"/>
        </w:rPr>
        <w:t>第一节  指导思想</w:t>
      </w:r>
      <w:bookmarkEnd w:id="6"/>
    </w:p>
    <w:p>
      <w:pPr>
        <w:ind w:firstLine="600" w:firstLineChars="200"/>
      </w:pPr>
      <w:r>
        <w:rPr>
          <w:rFonts w:hint="eastAsia"/>
        </w:rPr>
        <w:t>以习近平新时代中国特色社会主义思想为指导，全面贯彻党的十九大和十九届二中、三中、四中、五中、六中全会精神，深入践行习近平生态文明思想。深入贯彻习近平总书记来闽考察重要讲话精神，牢牢把握习近平总书记提出的“一个篇章”的总目标和“四个更大”的新要求，持续当好新时代生态文明建设的排头兵。以加快实现生态文明建设领域高质量发展超越为目标，以“六个坚定不移”更高水平建设高颜值厦门。加快构建绿色低碳循环发展经济体系，加快构建现代环境治理体系，建立健全以生态价值观念为准则的生态文化体系，为深化我省国家生态文明试验区建设贡献更多典型经验和成功案例，为人民群众提供更多优质生态产品，推动我市生态文明治理体系和治理能力实现现代化，为更高水平建设高素质高颜值现代化国际化城市筑牢生态之基。</w:t>
      </w:r>
    </w:p>
    <w:p>
      <w:pPr>
        <w:pStyle w:val="3"/>
      </w:pPr>
      <w:bookmarkStart w:id="7" w:name="_Toc83204011"/>
      <w:r>
        <w:rPr>
          <w:rFonts w:hint="eastAsia"/>
        </w:rPr>
        <w:t>第二节  基本原则</w:t>
      </w:r>
      <w:bookmarkEnd w:id="7"/>
    </w:p>
    <w:p>
      <w:pPr>
        <w:ind w:firstLine="596" w:firstLineChars="198"/>
      </w:pPr>
      <w:r>
        <w:rPr>
          <w:rFonts w:hint="eastAsia"/>
          <w:b/>
          <w:bCs/>
        </w:rPr>
        <w:t>坚持以人为本，普惠民生。</w:t>
      </w:r>
      <w:r>
        <w:rPr>
          <w:rFonts w:hint="eastAsia"/>
        </w:rPr>
        <w:t>坚持生态惠民、生态利民、生态为民，着力解决人民群众身边突出环境问题。加快改善生态环境质量，系统推进生态系统保护和修复，为人民群众提供更多优质生态产品。让厦门的蓝天白云、繁星闪烁常在，让清水绿岸、鱼翔浅底常在，让碧海银滩、海豚逐浪常在，让田园相依、百姓安居常在，让“清新的蓝、怡人的绿”成为厦门人民最普惠的民生福祉。</w:t>
      </w:r>
    </w:p>
    <w:p>
      <w:pPr>
        <w:ind w:firstLine="600"/>
      </w:pPr>
      <w:r>
        <w:rPr>
          <w:rFonts w:hint="eastAsia"/>
          <w:b/>
          <w:bCs/>
        </w:rPr>
        <w:t>坚持生态优先，绿色发展。</w:t>
      </w:r>
      <w:r>
        <w:rPr>
          <w:rFonts w:hint="eastAsia"/>
        </w:rPr>
        <w:t>坚定不移走生态优先、绿色发展之路。科学谋划、扎实推进碳达峰、碳中和行动，推进绿色循环低碳发展，形成节约资源、保护环境的空间格局、产业结构、生产方式和生活方式，实现经济社会全面绿色低碳转型。</w:t>
      </w:r>
    </w:p>
    <w:p>
      <w:pPr>
        <w:ind w:firstLine="600"/>
      </w:pPr>
      <w:r>
        <w:rPr>
          <w:rFonts w:hint="eastAsia"/>
          <w:b/>
          <w:bCs/>
        </w:rPr>
        <w:t>坚持系统推进，重点突破。</w:t>
      </w:r>
      <w:r>
        <w:rPr>
          <w:rFonts w:hint="eastAsia"/>
        </w:rPr>
        <w:t>统筹全局、谋划长远，做好总体谋划，扎实推进各领域生态文明建设工作。补短板、锻长板，立足自身资源条件提出关键目标和任务，</w:t>
      </w:r>
      <w:r>
        <w:t>着力解决</w:t>
      </w:r>
      <w:r>
        <w:rPr>
          <w:rFonts w:hint="eastAsia"/>
        </w:rPr>
        <w:t>制约</w:t>
      </w:r>
      <w:r>
        <w:t>经济社会可持续发展的突出问题</w:t>
      </w:r>
      <w:r>
        <w:rPr>
          <w:rFonts w:hint="eastAsia"/>
        </w:rPr>
        <w:t>，持续打好污染防治攻坚战，在关键领域、关键指标实现新的突破。</w:t>
      </w:r>
    </w:p>
    <w:p>
      <w:pPr>
        <w:ind w:firstLine="600"/>
        <w:rPr>
          <w:sz w:val="28"/>
        </w:rPr>
      </w:pPr>
      <w:r>
        <w:rPr>
          <w:rFonts w:hint="eastAsia"/>
          <w:b/>
          <w:bCs/>
        </w:rPr>
        <w:t>坚持改革深化，创新驱动。</w:t>
      </w:r>
      <w:r>
        <w:rPr>
          <w:rFonts w:hint="eastAsia"/>
        </w:rPr>
        <w:t>围绕生态文明建设、生态环境保护新要求</w:t>
      </w:r>
      <w:r>
        <w:rPr>
          <w:rFonts w:hint="eastAsia"/>
          <w:szCs w:val="30"/>
        </w:rPr>
        <w:t>，加大生态环境领域改革创新力度，建立产权结构清晰、激励约束并重、系统完整可靠的生态文明制度体系</w:t>
      </w:r>
      <w:r>
        <w:rPr>
          <w:rFonts w:hint="eastAsia"/>
        </w:rPr>
        <w:t>。加速推进生态技术创新体系建设，以绿色科技创新破解资源环境约束，为生态文明建设注入强大动力。</w:t>
      </w:r>
    </w:p>
    <w:p>
      <w:pPr>
        <w:ind w:firstLine="600"/>
      </w:pPr>
      <w:r>
        <w:rPr>
          <w:rFonts w:hint="eastAsia"/>
          <w:b/>
          <w:bCs/>
        </w:rPr>
        <w:t>坚持多元共治，开放共享。</w:t>
      </w:r>
      <w:r>
        <w:rPr>
          <w:rFonts w:hint="eastAsia"/>
        </w:rPr>
        <w:t>充分调动企业和人民群众的积极性、主动性和创造性，严格落实政府、企业和公众的生态文明责任，营造良好的生态文明建设氛围。积极开展国际交流与合作，促进技术、资金、人才等要素高效流动，形成多方参与的生态文明建设长效机制。</w:t>
      </w:r>
    </w:p>
    <w:p>
      <w:pPr>
        <w:pStyle w:val="3"/>
      </w:pPr>
      <w:bookmarkStart w:id="8" w:name="_Toc83204012"/>
      <w:r>
        <w:rPr>
          <w:rFonts w:hint="eastAsia"/>
        </w:rPr>
        <w:t>第三节  发展目标</w:t>
      </w:r>
      <w:bookmarkEnd w:id="8"/>
    </w:p>
    <w:p>
      <w:pPr>
        <w:adjustRightInd w:val="0"/>
        <w:snapToGrid w:val="0"/>
        <w:ind w:firstLine="642" w:firstLineChars="200"/>
        <w:jc w:val="left"/>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二</w:t>
      </w:r>
      <w:r>
        <w:rPr>
          <w:rFonts w:hint="eastAsia" w:cs="宋体"/>
          <w:b/>
          <w:sz w:val="32"/>
          <w:szCs w:val="32"/>
        </w:rPr>
        <w:t>〇</w:t>
      </w:r>
      <w:r>
        <w:rPr>
          <w:rFonts w:hint="eastAsia" w:ascii="仿宋_GB2312" w:hAnsi="仿宋_GB2312" w:eastAsia="仿宋_GB2312" w:cs="仿宋_GB2312"/>
          <w:b/>
          <w:sz w:val="32"/>
          <w:szCs w:val="32"/>
        </w:rPr>
        <w:t>三</w:t>
      </w:r>
      <w:r>
        <w:rPr>
          <w:rFonts w:hint="eastAsia" w:ascii="Times New Roman" w:hAnsi="Times New Roman" w:eastAsia="仿宋_GB2312"/>
          <w:b/>
          <w:sz w:val="32"/>
          <w:szCs w:val="32"/>
        </w:rPr>
        <w:t>五年远景目标</w:t>
      </w:r>
    </w:p>
    <w:p>
      <w:pPr>
        <w:ind w:firstLine="600" w:firstLineChars="200"/>
      </w:pPr>
      <w:r>
        <w:rPr>
          <w:rFonts w:hint="eastAsia"/>
        </w:rPr>
        <w:t>厦门市生态文明建设聚焦优美生态环境和优质生态产品需求、创造最普惠民生福祉、实现生态财富积累。强化生态文明体制改革和制度建设，推动生态经济、生态环境、生态人文融合发展。着力推动绿色低碳发展，形成节约资源和保护环境的空间格局、产业结构、生产方式、生活方式，实现产业生态化、生态产业化。力争实现经济发展与环境污染和资源消耗增长双脱钩，</w:t>
      </w:r>
      <w:r>
        <w:t>二氧化碳排放在</w:t>
      </w:r>
      <w:r>
        <w:rPr>
          <w:rFonts w:hint="eastAsia"/>
        </w:rPr>
        <w:t>2030年前达到</w:t>
      </w:r>
      <w:r>
        <w:t>峰值</w:t>
      </w:r>
      <w:r>
        <w:rPr>
          <w:rFonts w:hint="eastAsia"/>
        </w:rPr>
        <w:t>，并</w:t>
      </w:r>
      <w:r>
        <w:t>持续稳定下降，</w:t>
      </w:r>
      <w:r>
        <w:rPr>
          <w:rFonts w:hint="eastAsia"/>
        </w:rPr>
        <w:t>人居环境质量全面提升，自然生态系统活力显著增强，</w:t>
      </w:r>
      <w:r>
        <w:rPr>
          <w:rFonts w:hint="eastAsia" w:ascii="仿宋" w:hAnsi="仿宋" w:cs="仿宋"/>
          <w:szCs w:val="30"/>
        </w:rPr>
        <w:t>绿色发展方式和生活方式全面形成，</w:t>
      </w:r>
      <w:r>
        <w:rPr>
          <w:rFonts w:hint="eastAsia"/>
        </w:rPr>
        <w:t>社会主义生态文明价值观深入人心，</w:t>
      </w:r>
      <w:r>
        <w:rPr>
          <w:rFonts w:hint="eastAsia" w:ascii="仿宋" w:hAnsi="仿宋" w:cs="仿宋"/>
          <w:szCs w:val="30"/>
        </w:rPr>
        <w:t>人与自然和谐共生</w:t>
      </w:r>
      <w:r>
        <w:rPr>
          <w:rFonts w:hint="eastAsia"/>
        </w:rPr>
        <w:t>。</w:t>
      </w:r>
    </w:p>
    <w:p>
      <w:pPr>
        <w:ind w:firstLine="600" w:firstLineChars="200"/>
      </w:pPr>
      <w:r>
        <w:rPr>
          <w:rFonts w:hint="eastAsia"/>
        </w:rPr>
        <w:t>到2035年，率先实现生态文明建设领域超越，跃升为全球生态文明领先城市，全面建成生态亲和的绿色创新城市、和谐宜居的山海生态花园、互联共治的生态智慧之城、全球共享的蓝色开放门户。</w:t>
      </w:r>
    </w:p>
    <w:p>
      <w:pPr>
        <w:pStyle w:val="6"/>
      </w:pPr>
      <w:r>
        <w:drawing>
          <wp:inline distT="0" distB="0" distL="0" distR="0">
            <wp:extent cx="5770245" cy="4118610"/>
            <wp:effectExtent l="0" t="0" r="0"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2">
                      <a:extLst>
                        <a:ext uri="{28A0092B-C50C-407E-A947-70E740481C1C}">
                          <a14:useLocalDpi xmlns:a14="http://schemas.microsoft.com/office/drawing/2010/main" val="false"/>
                        </a:ext>
                      </a:extLst>
                    </a:blip>
                    <a:stretch>
                      <a:fillRect/>
                    </a:stretch>
                  </pic:blipFill>
                  <pic:spPr>
                    <a:xfrm>
                      <a:off x="0" y="0"/>
                      <a:ext cx="5797219" cy="4137622"/>
                    </a:xfrm>
                    <a:prstGeom prst="rect">
                      <a:avLst/>
                    </a:prstGeom>
                  </pic:spPr>
                </pic:pic>
              </a:graphicData>
            </a:graphic>
          </wp:inline>
        </w:drawing>
      </w:r>
    </w:p>
    <w:p>
      <w:pPr>
        <w:pStyle w:val="6"/>
      </w:pPr>
      <w:r>
        <w:rPr>
          <w:rFonts w:ascii="黑体" w:hAnsi="黑体" w:eastAsia="黑体"/>
        </w:rPr>
        <w:t>图</w:t>
      </w:r>
      <w:r>
        <w:rPr>
          <w:rFonts w:ascii="黑体" w:hAnsi="黑体" w:eastAsia="黑体"/>
        </w:rPr>
        <w:fldChar w:fldCharType="begin"/>
      </w:r>
      <w:r>
        <w:rPr>
          <w:rFonts w:ascii="黑体" w:hAnsi="黑体" w:eastAsia="黑体"/>
        </w:rPr>
        <w:instrText xml:space="preserve"> SEQ 图表 \* ARABIC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hint="eastAsia" w:ascii="黑体" w:hAnsi="黑体" w:eastAsia="黑体"/>
        </w:rPr>
        <w:t>厦门市</w:t>
      </w:r>
      <w:r>
        <w:rPr>
          <w:rFonts w:ascii="黑体" w:hAnsi="黑体" w:eastAsia="黑体"/>
        </w:rPr>
        <w:t>2021-2035</w:t>
      </w:r>
      <w:r>
        <w:rPr>
          <w:rFonts w:hint="eastAsia" w:ascii="黑体" w:hAnsi="黑体" w:eastAsia="黑体"/>
        </w:rPr>
        <w:t>年生态文明建设蓝图</w:t>
      </w:r>
    </w:p>
    <w:p>
      <w:pPr>
        <w:adjustRightInd w:val="0"/>
        <w:snapToGrid w:val="0"/>
        <w:spacing w:beforeLines="50"/>
        <w:ind w:firstLine="642" w:firstLineChars="200"/>
        <w:jc w:val="left"/>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“十四五”发展目标</w:t>
      </w:r>
    </w:p>
    <w:p>
      <w:pPr>
        <w:ind w:firstLine="600" w:firstLineChars="200"/>
      </w:pPr>
      <w:r>
        <w:rPr>
          <w:rFonts w:hint="eastAsia"/>
        </w:rPr>
        <w:t>“十四五”时期，以打造全国生态文明典范城市为总体目标，全面巩固治理成果，坚持创新治理模式，积极对标以新加坡为代表的国际一流城市，立足厦门“山、海、城”相融共生城市特质，紧密围绕生态经济、生态环境、生态人文三条主线融合发展，夯实生态文明体制改革重要基础，着力超越既有、超越先进。</w:t>
      </w:r>
    </w:p>
    <w:p>
      <w:pPr>
        <w:ind w:firstLine="600" w:firstLineChars="200"/>
      </w:pPr>
      <w:r>
        <w:rPr>
          <w:rFonts w:hint="eastAsia"/>
        </w:rPr>
        <w:t>到2025年，成功创建国家生态文明建设示范区，建成全国生态文明典范城市，塑造生态文明建设与花园人居环境“两个领先”综合优势，彰显陆海一体协同发展与生态文明治理创新“两个典范”鲜明特色。产业结构明显转变，碳排放强度保持低位，为2030年前碳达峰打下坚实基础。环境质量持续提升，城市与生态深度融合，花园人居环境品质保持领先。强化陆海空间规划与发展联动，深化区域协同合作，创建陆海协同发展典范。生态文明制度体系更加完善。</w:t>
      </w:r>
    </w:p>
    <w:p>
      <w:pPr>
        <w:jc w:val="center"/>
      </w:pPr>
      <w:r>
        <w:pict>
          <v:shape id="_x0000_i1025" o:spt="75" type="#_x0000_t75" style="height:222.45pt;width:392.25pt;" filled="f" o:preferrelative="t" stroked="f" coordsize="21600,21600">
            <v:path/>
            <v:fill on="f" focussize="0,0"/>
            <v:stroke on="f" joinstyle="miter"/>
            <v:imagedata r:id="rId13" o:title=""/>
            <o:lock v:ext="edit" aspectratio="t"/>
            <w10:wrap type="none"/>
            <w10:anchorlock/>
          </v:shape>
        </w:pict>
      </w:r>
    </w:p>
    <w:p>
      <w:pPr>
        <w:pStyle w:val="6"/>
        <w:rPr>
          <w:b w:val="0"/>
          <w:bCs/>
        </w:rPr>
      </w:pPr>
      <w:r>
        <w:rPr>
          <w:rFonts w:ascii="黑体" w:hAnsi="黑体" w:eastAsia="黑体"/>
        </w:rPr>
        <w:t>图2</w:t>
      </w:r>
      <w:r>
        <w:rPr>
          <w:rFonts w:hint="eastAsia" w:ascii="黑体" w:hAnsi="黑体" w:eastAsia="黑体"/>
          <w:bCs/>
        </w:rPr>
        <w:t>厦门市生态文明建设框架图</w:t>
      </w:r>
    </w:p>
    <w:p>
      <w:pPr>
        <w:ind w:firstLine="602" w:firstLineChars="200"/>
      </w:pPr>
      <w:r>
        <w:rPr>
          <w:rFonts w:hint="eastAsia"/>
          <w:b/>
          <w:bCs/>
        </w:rPr>
        <w:t>生态经济水平跃升</w:t>
      </w:r>
      <w:r>
        <w:rPr>
          <w:rFonts w:hint="eastAsia"/>
        </w:rPr>
        <w:t>。绿色低碳循环经济体系建立健全，经济发展与污染和能耗增长逐步脱钩，能源结构和能源消费方式明显转变，二氧化碳排放强度得到有效控制，产业结构持续优化，绿色发展水平不断提升，基本形成科技含量高、资源消耗低、环境污染少的产业结构与生产方式。到2</w:t>
      </w:r>
      <w:r>
        <w:t>025</w:t>
      </w:r>
      <w:r>
        <w:rPr>
          <w:rFonts w:hint="eastAsia"/>
        </w:rPr>
        <w:t>年，规模以上高技术工业增加值占规上工业增加值比重达4</w:t>
      </w:r>
      <w:r>
        <w:t>5</w:t>
      </w:r>
      <w:r>
        <w:rPr>
          <w:rFonts w:hint="eastAsia"/>
        </w:rPr>
        <w:t>%（或以上）。打造2-</w:t>
      </w:r>
      <w:r>
        <w:t>3</w:t>
      </w:r>
      <w:r>
        <w:rPr>
          <w:rFonts w:hint="eastAsia"/>
        </w:rPr>
        <w:t>家绿色产业（名词解释5）区域龙头企业，培育一批全国领先的绿色技术创新企业。生态旅游成为厦门旅游新名片，海洋原生态水产品加工业和医药产业成为海洋经济发展新亮点。</w:t>
      </w:r>
    </w:p>
    <w:p>
      <w:pPr>
        <w:ind w:firstLine="602" w:firstLineChars="200"/>
      </w:pPr>
      <w:r>
        <w:rPr>
          <w:rFonts w:hint="eastAsia"/>
          <w:b/>
          <w:bCs/>
        </w:rPr>
        <w:t>生态环境质量领先</w:t>
      </w:r>
      <w:r>
        <w:rPr>
          <w:rFonts w:hint="eastAsia"/>
        </w:rPr>
        <w:t>。环境基础设施短板全面补齐，绿色宜居环境长板得到强化。城乡绿色一体化发展成效显著，城市颜值特色明显，生态景观持续美化、生态系统更加健康、生物多样性不断丰富，宜居水平保持全国领先。到2</w:t>
      </w:r>
      <w:r>
        <w:t>025</w:t>
      </w:r>
      <w:r>
        <w:rPr>
          <w:rFonts w:hint="eastAsia"/>
        </w:rPr>
        <w:t>年，地表水质量达到或好于Ⅲ类水体比例确保达到省里下达要求，集中式饮用水源地水质优良比例保持1</w:t>
      </w:r>
      <w:r>
        <w:t>00</w:t>
      </w:r>
      <w:r>
        <w:rPr>
          <w:rFonts w:hint="eastAsia"/>
        </w:rPr>
        <w:t>%，绿盈乡村覆盖率达85%（或以上）。</w:t>
      </w:r>
    </w:p>
    <w:p>
      <w:pPr>
        <w:ind w:firstLine="602" w:firstLineChars="200"/>
      </w:pPr>
      <w:r>
        <w:rPr>
          <w:rFonts w:hint="eastAsia"/>
          <w:b/>
          <w:bCs/>
        </w:rPr>
        <w:t>生态人文全面发展</w:t>
      </w:r>
      <w:r>
        <w:rPr>
          <w:rFonts w:hint="eastAsia"/>
        </w:rPr>
        <w:t>。以推动全社会践行绿色发展理念、促进绿色消费升级为核心，持续构建利于消费理念与行为转变的良好外部环境。公民共建形式多元化，生态价值观逐步内化于心、外化于行，成为全民行动指南。到2</w:t>
      </w:r>
      <w:r>
        <w:t>025</w:t>
      </w:r>
      <w:r>
        <w:rPr>
          <w:rFonts w:hint="eastAsia"/>
        </w:rPr>
        <w:t>年，绿色出行比例达7</w:t>
      </w:r>
      <w:r>
        <w:t>0</w:t>
      </w:r>
      <w:r>
        <w:rPr>
          <w:rFonts w:hint="eastAsia"/>
        </w:rPr>
        <w:t>%（或以上），人均生活垃圾日产生量不超过1</w:t>
      </w:r>
      <w:r>
        <w:t>.</w:t>
      </w:r>
      <w:r>
        <w:rPr>
          <w:rFonts w:hint="eastAsia"/>
        </w:rPr>
        <w:t>15千克，新时代文明实践中心区、镇街、村居全覆盖，生态环境课时数超1</w:t>
      </w:r>
      <w:r>
        <w:t>4</w:t>
      </w:r>
      <w:r>
        <w:rPr>
          <w:rFonts w:hint="eastAsia"/>
        </w:rPr>
        <w:t>个，“互联网+生态文明全民行动”应用场景不断丰富，公民参与度不断提升，生态文明社会信用体系基本建立。</w:t>
      </w:r>
    </w:p>
    <w:p>
      <w:pPr>
        <w:ind w:firstLine="602" w:firstLineChars="200"/>
      </w:pPr>
      <w:r>
        <w:rPr>
          <w:rFonts w:hint="eastAsia"/>
          <w:b/>
          <w:bCs/>
        </w:rPr>
        <w:t>生态治理创新深化</w:t>
      </w:r>
      <w:r>
        <w:rPr>
          <w:rFonts w:hint="eastAsia"/>
        </w:rPr>
        <w:t>。持续推进生态文明体制改革，形成更完善的制度体系和更高效的治理模式，为高标准推进生态文明建设构筑坚实的制度基础。到2</w:t>
      </w:r>
      <w:r>
        <w:t>025</w:t>
      </w:r>
      <w:r>
        <w:rPr>
          <w:rFonts w:hint="eastAsia"/>
        </w:rPr>
        <w:t>年，</w:t>
      </w:r>
      <w:r>
        <w:t>国土空间开发保护和用途</w:t>
      </w:r>
      <w:r>
        <w:rPr>
          <w:rFonts w:hint="eastAsia"/>
        </w:rPr>
        <w:t>管制制度深化落实，</w:t>
      </w:r>
      <w:r>
        <w:t>自然资源管理和开发利用制度</w:t>
      </w:r>
      <w:r>
        <w:rPr>
          <w:rFonts w:hint="eastAsia"/>
        </w:rPr>
        <w:t>、生态环境监管与执法制度不断健全，经济特区生态环境保护立法保障有力，政府、企业、公众等各类主体生态环境保护权责明晰，环境治理市场化规范化程度提升，生态产品价值实现的制度框架基本形成，环保社会组织和志愿者队伍规范健康发展，党委领导、政府主导、企业主体、社会组织和公众共同参与的现代环境治理体系全面构建。</w:t>
      </w:r>
    </w:p>
    <w:p>
      <w:pPr>
        <w:ind w:firstLine="600" w:firstLineChars="200"/>
      </w:pPr>
    </w:p>
    <w:p>
      <w:pPr>
        <w:ind w:firstLine="600" w:firstLineChars="200"/>
      </w:pPr>
    </w:p>
    <w:p>
      <w:pPr>
        <w:ind w:firstLine="602" w:firstLineChars="200"/>
        <w:rPr>
          <w:b/>
          <w:bCs/>
        </w:rPr>
      </w:pPr>
    </w:p>
    <w:p>
      <w:pPr>
        <w:pStyle w:val="6"/>
        <w:spacing w:before="240"/>
        <w:rPr>
          <w:rFonts w:ascii="等线 Light" w:hAnsi="等线 Light"/>
        </w:rPr>
      </w:pPr>
      <w:r>
        <w:rPr>
          <w:rFonts w:ascii="黑体" w:hAnsi="黑体" w:eastAsia="黑体"/>
        </w:rPr>
        <w:t>表</w:t>
      </w:r>
      <w:r>
        <w:rPr>
          <w:rFonts w:ascii="黑体" w:hAnsi="黑体" w:eastAsia="黑体"/>
        </w:rPr>
        <w:fldChar w:fldCharType="begin"/>
      </w:r>
      <w:r>
        <w:rPr>
          <w:rFonts w:ascii="黑体" w:hAnsi="黑体" w:eastAsia="黑体"/>
        </w:rPr>
        <w:instrText xml:space="preserve"> SEQ 表格\* ARABIC </w:instrText>
      </w:r>
      <w:r>
        <w:rPr>
          <w:rFonts w:ascii="黑体" w:hAnsi="黑体" w:eastAsia="黑体"/>
        </w:rPr>
        <w:fldChar w:fldCharType="separate"/>
      </w:r>
      <w:r>
        <w:rPr>
          <w:rFonts w:ascii="黑体" w:hAnsi="黑体" w:eastAsia="黑体"/>
        </w:rPr>
        <w:t>2</w:t>
      </w:r>
      <w:r>
        <w:rPr>
          <w:rFonts w:ascii="黑体" w:hAnsi="黑体" w:eastAsia="黑体"/>
        </w:rPr>
        <w:fldChar w:fldCharType="end"/>
      </w:r>
      <w:r>
        <w:rPr>
          <w:rFonts w:hint="eastAsia" w:ascii="黑体" w:hAnsi="黑体" w:eastAsia="黑体"/>
        </w:rPr>
        <w:t>厦门市“十四五”生态文明建设规划指标体系</w:t>
      </w:r>
    </w:p>
    <w:tbl>
      <w:tblPr>
        <w:tblStyle w:val="19"/>
        <w:tblW w:w="8073" w:type="dxa"/>
        <w:tblInd w:w="8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1"/>
        <w:gridCol w:w="492"/>
        <w:gridCol w:w="631"/>
        <w:gridCol w:w="2032"/>
        <w:gridCol w:w="851"/>
        <w:gridCol w:w="1134"/>
        <w:gridCol w:w="1134"/>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1443" w:type="dxa"/>
            <w:gridSpan w:val="2"/>
            <w:vAlign w:val="center"/>
          </w:tcPr>
          <w:p>
            <w:pPr>
              <w:spacing w:line="240" w:lineRule="auto"/>
              <w:jc w:val="center"/>
              <w:rPr>
                <w:rFonts w:ascii="仿宋" w:hAnsi="仿宋"/>
                <w:b/>
                <w:bCs/>
                <w:color w:val="000000"/>
                <w:sz w:val="18"/>
                <w:szCs w:val="18"/>
              </w:rPr>
            </w:pPr>
            <w:bookmarkStart w:id="9" w:name="_Hlk78879913"/>
            <w:r>
              <w:rPr>
                <w:rFonts w:hint="eastAsia" w:ascii="仿宋" w:hAnsi="仿宋"/>
                <w:b/>
                <w:bCs/>
                <w:color w:val="000000"/>
                <w:sz w:val="18"/>
                <w:szCs w:val="18"/>
              </w:rPr>
              <w:t>领域</w:t>
            </w:r>
          </w:p>
        </w:tc>
        <w:tc>
          <w:tcPr>
            <w:tcW w:w="631" w:type="dxa"/>
            <w:vMerge w:val="restart"/>
            <w:noWrap/>
            <w:vAlign w:val="center"/>
          </w:tcPr>
          <w:p>
            <w:pPr>
              <w:spacing w:line="240" w:lineRule="auto"/>
              <w:jc w:val="center"/>
              <w:rPr>
                <w:rFonts w:ascii="仿宋" w:hAnsi="仿宋"/>
                <w:b/>
                <w:bCs/>
                <w:color w:val="000000"/>
                <w:sz w:val="18"/>
                <w:szCs w:val="18"/>
              </w:rPr>
            </w:pPr>
            <w:r>
              <w:rPr>
                <w:rFonts w:hint="eastAsia" w:ascii="仿宋" w:hAnsi="仿宋"/>
                <w:b/>
                <w:bCs/>
                <w:color w:val="000000"/>
                <w:sz w:val="18"/>
                <w:szCs w:val="18"/>
              </w:rPr>
              <w:t>序号</w:t>
            </w:r>
          </w:p>
        </w:tc>
        <w:tc>
          <w:tcPr>
            <w:tcW w:w="2032" w:type="dxa"/>
            <w:vMerge w:val="restart"/>
            <w:noWrap/>
            <w:vAlign w:val="center"/>
          </w:tcPr>
          <w:p>
            <w:pPr>
              <w:spacing w:line="240" w:lineRule="auto"/>
              <w:jc w:val="center"/>
              <w:rPr>
                <w:rFonts w:ascii="仿宋" w:hAnsi="仿宋"/>
                <w:b/>
                <w:bCs/>
                <w:sz w:val="18"/>
                <w:szCs w:val="18"/>
              </w:rPr>
            </w:pPr>
            <w:r>
              <w:rPr>
                <w:rFonts w:hint="eastAsia" w:ascii="仿宋" w:hAnsi="仿宋"/>
                <w:b/>
                <w:bCs/>
                <w:sz w:val="18"/>
                <w:szCs w:val="18"/>
              </w:rPr>
              <w:t>评价指标</w:t>
            </w:r>
          </w:p>
        </w:tc>
        <w:tc>
          <w:tcPr>
            <w:tcW w:w="851" w:type="dxa"/>
            <w:vMerge w:val="restart"/>
            <w:vAlign w:val="center"/>
          </w:tcPr>
          <w:p>
            <w:pPr>
              <w:spacing w:line="240" w:lineRule="auto"/>
              <w:jc w:val="center"/>
              <w:rPr>
                <w:rFonts w:ascii="仿宋" w:hAnsi="仿宋"/>
                <w:b/>
                <w:bCs/>
                <w:sz w:val="18"/>
                <w:szCs w:val="18"/>
              </w:rPr>
            </w:pPr>
            <w:r>
              <w:rPr>
                <w:rFonts w:hint="eastAsia" w:ascii="仿宋" w:hAnsi="仿宋"/>
                <w:b/>
                <w:bCs/>
                <w:sz w:val="18"/>
                <w:szCs w:val="18"/>
              </w:rPr>
              <w:t>单位</w:t>
            </w:r>
          </w:p>
        </w:tc>
        <w:tc>
          <w:tcPr>
            <w:tcW w:w="1134" w:type="dxa"/>
            <w:vMerge w:val="restart"/>
            <w:vAlign w:val="center"/>
          </w:tcPr>
          <w:p>
            <w:pPr>
              <w:spacing w:line="240" w:lineRule="auto"/>
              <w:jc w:val="center"/>
              <w:rPr>
                <w:rFonts w:ascii="仿宋" w:hAnsi="仿宋"/>
                <w:b/>
                <w:bCs/>
                <w:sz w:val="18"/>
                <w:szCs w:val="18"/>
              </w:rPr>
            </w:pPr>
            <w:r>
              <w:rPr>
                <w:rFonts w:hint="eastAsia" w:ascii="仿宋" w:hAnsi="仿宋"/>
                <w:b/>
                <w:bCs/>
                <w:sz w:val="18"/>
                <w:szCs w:val="18"/>
              </w:rPr>
              <w:t>现状值</w:t>
            </w:r>
            <w:r>
              <w:rPr>
                <w:rFonts w:ascii="仿宋" w:hAnsi="仿宋"/>
                <w:b/>
                <w:bCs/>
                <w:sz w:val="18"/>
                <w:szCs w:val="18"/>
              </w:rPr>
              <w:br w:type="textWrapping"/>
            </w:r>
            <w:r>
              <w:rPr>
                <w:rFonts w:ascii="仿宋" w:hAnsi="仿宋"/>
                <w:b/>
                <w:bCs/>
                <w:sz w:val="18"/>
                <w:szCs w:val="18"/>
              </w:rPr>
              <w:t>2020年</w:t>
            </w:r>
          </w:p>
        </w:tc>
        <w:tc>
          <w:tcPr>
            <w:tcW w:w="1134" w:type="dxa"/>
            <w:vMerge w:val="restart"/>
          </w:tcPr>
          <w:p>
            <w:pPr>
              <w:jc w:val="center"/>
              <w:rPr>
                <w:rFonts w:ascii="仿宋" w:hAnsi="仿宋"/>
                <w:b/>
                <w:bCs/>
                <w:sz w:val="18"/>
                <w:szCs w:val="18"/>
              </w:rPr>
            </w:pPr>
            <w:r>
              <w:rPr>
                <w:rFonts w:ascii="仿宋" w:hAnsi="仿宋"/>
                <w:b/>
                <w:bCs/>
                <w:sz w:val="18"/>
                <w:szCs w:val="18"/>
              </w:rPr>
              <w:t>2025年</w:t>
            </w:r>
          </w:p>
          <w:p>
            <w:pPr>
              <w:jc w:val="center"/>
              <w:rPr>
                <w:rFonts w:ascii="仿宋" w:hAnsi="仿宋"/>
                <w:b/>
                <w:bCs/>
                <w:sz w:val="18"/>
                <w:szCs w:val="18"/>
              </w:rPr>
            </w:pPr>
            <w:r>
              <w:rPr>
                <w:rFonts w:ascii="仿宋" w:hAnsi="仿宋"/>
                <w:b/>
                <w:bCs/>
                <w:sz w:val="18"/>
                <w:szCs w:val="18"/>
              </w:rPr>
              <w:t>目标值</w:t>
            </w:r>
          </w:p>
        </w:tc>
        <w:tc>
          <w:tcPr>
            <w:tcW w:w="848" w:type="dxa"/>
            <w:vAlign w:val="center"/>
          </w:tcPr>
          <w:p>
            <w:pPr>
              <w:spacing w:line="240" w:lineRule="auto"/>
              <w:jc w:val="center"/>
              <w:rPr>
                <w:rFonts w:ascii="仿宋" w:hAnsi="仿宋"/>
                <w:b/>
                <w:bCs/>
                <w:sz w:val="18"/>
                <w:szCs w:val="18"/>
              </w:rPr>
            </w:pPr>
            <w:r>
              <w:rPr>
                <w:rFonts w:hint="eastAsia" w:ascii="仿宋" w:hAnsi="仿宋"/>
                <w:b/>
                <w:bCs/>
                <w:sz w:val="18"/>
                <w:szCs w:val="18"/>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1" w:type="dxa"/>
            <w:tcBorders>
              <w:bottom w:val="single" w:color="000000" w:sz="4" w:space="0"/>
            </w:tcBorders>
            <w:vAlign w:val="center"/>
          </w:tcPr>
          <w:p>
            <w:pPr>
              <w:spacing w:line="240" w:lineRule="auto"/>
              <w:jc w:val="center"/>
              <w:rPr>
                <w:rFonts w:ascii="仿宋" w:hAnsi="仿宋"/>
                <w:b/>
                <w:bCs/>
                <w:color w:val="000000"/>
                <w:sz w:val="18"/>
                <w:szCs w:val="18"/>
              </w:rPr>
            </w:pPr>
            <w:r>
              <w:rPr>
                <w:rFonts w:hint="eastAsia" w:ascii="仿宋" w:hAnsi="仿宋"/>
                <w:b/>
                <w:bCs/>
                <w:color w:val="000000"/>
                <w:sz w:val="18"/>
                <w:szCs w:val="18"/>
              </w:rPr>
              <w:t>一级</w:t>
            </w:r>
          </w:p>
        </w:tc>
        <w:tc>
          <w:tcPr>
            <w:tcW w:w="492" w:type="dxa"/>
            <w:tcBorders>
              <w:bottom w:val="single" w:color="000000" w:sz="4" w:space="0"/>
            </w:tcBorders>
            <w:vAlign w:val="center"/>
          </w:tcPr>
          <w:p>
            <w:pPr>
              <w:spacing w:line="240" w:lineRule="auto"/>
              <w:jc w:val="center"/>
              <w:rPr>
                <w:rFonts w:ascii="仿宋" w:hAnsi="仿宋"/>
                <w:b/>
                <w:bCs/>
                <w:color w:val="000000"/>
                <w:sz w:val="18"/>
                <w:szCs w:val="18"/>
              </w:rPr>
            </w:pPr>
            <w:r>
              <w:rPr>
                <w:rFonts w:hint="eastAsia" w:ascii="仿宋" w:hAnsi="仿宋"/>
                <w:b/>
                <w:bCs/>
                <w:color w:val="000000"/>
                <w:sz w:val="18"/>
                <w:szCs w:val="18"/>
              </w:rPr>
              <w:t>二级</w:t>
            </w:r>
          </w:p>
        </w:tc>
        <w:tc>
          <w:tcPr>
            <w:tcW w:w="631" w:type="dxa"/>
            <w:vMerge w:val="continue"/>
            <w:tcBorders>
              <w:bottom w:val="single" w:color="000000" w:sz="4" w:space="0"/>
            </w:tcBorders>
            <w:vAlign w:val="center"/>
          </w:tcPr>
          <w:p>
            <w:pPr>
              <w:spacing w:line="240" w:lineRule="auto"/>
              <w:jc w:val="center"/>
              <w:rPr>
                <w:rFonts w:ascii="仿宋" w:hAnsi="仿宋" w:cs="宋体"/>
                <w:b/>
                <w:bCs/>
                <w:color w:val="000000"/>
                <w:sz w:val="18"/>
                <w:szCs w:val="18"/>
              </w:rPr>
            </w:pPr>
          </w:p>
        </w:tc>
        <w:tc>
          <w:tcPr>
            <w:tcW w:w="2032" w:type="dxa"/>
            <w:vMerge w:val="continue"/>
            <w:tcBorders>
              <w:bottom w:val="single" w:color="000000" w:sz="4" w:space="0"/>
            </w:tcBorders>
            <w:vAlign w:val="center"/>
          </w:tcPr>
          <w:p>
            <w:pPr>
              <w:spacing w:line="240" w:lineRule="auto"/>
              <w:jc w:val="center"/>
              <w:rPr>
                <w:rFonts w:ascii="仿宋" w:hAnsi="仿宋" w:cs="宋体"/>
                <w:b/>
                <w:bCs/>
                <w:sz w:val="18"/>
                <w:szCs w:val="18"/>
              </w:rPr>
            </w:pPr>
          </w:p>
        </w:tc>
        <w:tc>
          <w:tcPr>
            <w:tcW w:w="851" w:type="dxa"/>
            <w:vMerge w:val="continue"/>
            <w:tcBorders>
              <w:bottom w:val="single" w:color="000000" w:sz="4" w:space="0"/>
            </w:tcBorders>
            <w:vAlign w:val="center"/>
          </w:tcPr>
          <w:p>
            <w:pPr>
              <w:spacing w:line="240" w:lineRule="auto"/>
              <w:jc w:val="center"/>
              <w:rPr>
                <w:rFonts w:ascii="仿宋" w:hAnsi="仿宋" w:cs="宋体"/>
                <w:b/>
                <w:bCs/>
                <w:sz w:val="18"/>
                <w:szCs w:val="18"/>
              </w:rPr>
            </w:pPr>
          </w:p>
        </w:tc>
        <w:tc>
          <w:tcPr>
            <w:tcW w:w="1134" w:type="dxa"/>
            <w:vMerge w:val="continue"/>
            <w:tcBorders>
              <w:bottom w:val="single" w:color="000000" w:sz="4" w:space="0"/>
            </w:tcBorders>
            <w:vAlign w:val="center"/>
          </w:tcPr>
          <w:p>
            <w:pPr>
              <w:spacing w:line="240" w:lineRule="auto"/>
              <w:jc w:val="center"/>
              <w:rPr>
                <w:rFonts w:ascii="仿宋" w:hAnsi="仿宋" w:cs="宋体"/>
                <w:b/>
                <w:bCs/>
                <w:sz w:val="18"/>
                <w:szCs w:val="18"/>
              </w:rPr>
            </w:pPr>
          </w:p>
        </w:tc>
        <w:tc>
          <w:tcPr>
            <w:tcW w:w="1134" w:type="dxa"/>
            <w:vMerge w:val="continue"/>
            <w:tcBorders>
              <w:bottom w:val="single" w:color="000000" w:sz="4" w:space="0"/>
            </w:tcBorders>
            <w:vAlign w:val="center"/>
          </w:tcPr>
          <w:p>
            <w:pPr>
              <w:spacing w:line="240" w:lineRule="auto"/>
              <w:jc w:val="center"/>
              <w:rPr>
                <w:rFonts w:ascii="仿宋" w:hAnsi="仿宋"/>
                <w:b/>
                <w:bCs/>
                <w:sz w:val="18"/>
                <w:szCs w:val="18"/>
              </w:rPr>
            </w:pPr>
          </w:p>
        </w:tc>
        <w:tc>
          <w:tcPr>
            <w:tcW w:w="848" w:type="dxa"/>
            <w:tcBorders>
              <w:bottom w:val="single" w:color="000000" w:sz="4" w:space="0"/>
            </w:tcBorders>
            <w:vAlign w:val="center"/>
          </w:tcPr>
          <w:p>
            <w:pPr>
              <w:spacing w:line="240" w:lineRule="auto"/>
              <w:jc w:val="center"/>
              <w:rPr>
                <w:rFonts w:ascii="仿宋" w:hAnsi="仿宋"/>
                <w:b/>
                <w:bCs/>
                <w:sz w:val="18"/>
                <w:szCs w:val="18"/>
              </w:rPr>
            </w:pPr>
            <w:r>
              <w:rPr>
                <w:rFonts w:hint="eastAsia" w:ascii="仿宋" w:hAnsi="仿宋"/>
                <w:b/>
                <w:bCs/>
                <w:sz w:val="18"/>
                <w:szCs w:val="18"/>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0" w:type="auto"/>
            <w:vAlign w:val="center"/>
          </w:tcPr>
          <w:p>
            <w:pPr>
              <w:spacing w:line="240" w:lineRule="auto"/>
              <w:jc w:val="center"/>
              <w:rPr>
                <w:rFonts w:ascii="仿宋" w:hAnsi="仿宋" w:cs="宋体"/>
                <w:color w:val="000000"/>
                <w:sz w:val="18"/>
                <w:szCs w:val="18"/>
              </w:rPr>
            </w:pPr>
            <w:r>
              <w:rPr>
                <w:rFonts w:hint="eastAsia" w:ascii="仿宋" w:hAnsi="仿宋"/>
                <w:color w:val="000000"/>
                <w:sz w:val="18"/>
                <w:szCs w:val="18"/>
              </w:rPr>
              <w:t>生态效益</w:t>
            </w:r>
          </w:p>
        </w:tc>
        <w:tc>
          <w:tcPr>
            <w:tcW w:w="492" w:type="dxa"/>
            <w:vAlign w:val="center"/>
          </w:tcPr>
          <w:p>
            <w:pPr>
              <w:spacing w:line="240" w:lineRule="auto"/>
              <w:jc w:val="center"/>
              <w:rPr>
                <w:rFonts w:ascii="仿宋" w:hAnsi="仿宋"/>
                <w:color w:val="000000"/>
                <w:sz w:val="18"/>
                <w:szCs w:val="18"/>
              </w:rPr>
            </w:pPr>
          </w:p>
        </w:tc>
        <w:tc>
          <w:tcPr>
            <w:tcW w:w="631" w:type="dxa"/>
            <w:vAlign w:val="center"/>
          </w:tcPr>
          <w:p>
            <w:pPr>
              <w:spacing w:line="240" w:lineRule="auto"/>
              <w:jc w:val="center"/>
              <w:rPr>
                <w:rFonts w:ascii="仿宋" w:hAnsi="仿宋"/>
                <w:color w:val="000000"/>
                <w:sz w:val="18"/>
                <w:szCs w:val="18"/>
              </w:rPr>
            </w:pPr>
            <w:r>
              <w:rPr>
                <w:rFonts w:ascii="仿宋" w:hAnsi="仿宋"/>
                <w:color w:val="000000"/>
                <w:sz w:val="18"/>
                <w:szCs w:val="18"/>
              </w:rPr>
              <w:t>1</w:t>
            </w:r>
          </w:p>
        </w:tc>
        <w:tc>
          <w:tcPr>
            <w:tcW w:w="2032" w:type="dxa"/>
            <w:noWrap/>
            <w:vAlign w:val="center"/>
          </w:tcPr>
          <w:p>
            <w:pPr>
              <w:spacing w:line="240" w:lineRule="auto"/>
              <w:jc w:val="center"/>
              <w:rPr>
                <w:rFonts w:ascii="仿宋" w:hAnsi="仿宋"/>
                <w:sz w:val="18"/>
                <w:szCs w:val="18"/>
              </w:rPr>
            </w:pPr>
            <w:r>
              <w:rPr>
                <w:rFonts w:ascii="仿宋" w:hAnsi="仿宋"/>
                <w:sz w:val="18"/>
                <w:szCs w:val="18"/>
              </w:rPr>
              <w:t>GEP增长率</w:t>
            </w:r>
          </w:p>
        </w:tc>
        <w:tc>
          <w:tcPr>
            <w:tcW w:w="851" w:type="dxa"/>
            <w:vAlign w:val="center"/>
          </w:tcPr>
          <w:p>
            <w:pPr>
              <w:spacing w:line="240" w:lineRule="auto"/>
              <w:jc w:val="center"/>
              <w:rPr>
                <w:rFonts w:ascii="仿宋" w:hAnsi="仿宋"/>
                <w:sz w:val="18"/>
                <w:szCs w:val="18"/>
              </w:rPr>
            </w:pPr>
            <w:r>
              <w:rPr>
                <w:rFonts w:ascii="仿宋" w:hAnsi="仿宋"/>
                <w:sz w:val="18"/>
                <w:szCs w:val="18"/>
              </w:rPr>
              <w:t>%</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≥评估年</w:t>
            </w:r>
            <w:r>
              <w:rPr>
                <w:rFonts w:ascii="仿宋" w:hAnsi="仿宋"/>
                <w:sz w:val="18"/>
                <w:szCs w:val="18"/>
              </w:rPr>
              <w:t>GDP增长率</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restart"/>
            <w:vAlign w:val="center"/>
          </w:tcPr>
          <w:p>
            <w:pPr>
              <w:spacing w:line="240" w:lineRule="auto"/>
              <w:jc w:val="center"/>
              <w:rPr>
                <w:rFonts w:ascii="仿宋" w:hAnsi="仿宋"/>
                <w:color w:val="000000"/>
                <w:sz w:val="18"/>
                <w:szCs w:val="18"/>
              </w:rPr>
            </w:pPr>
            <w:r>
              <w:rPr>
                <w:rFonts w:hint="eastAsia" w:ascii="仿宋" w:hAnsi="仿宋"/>
                <w:color w:val="000000"/>
                <w:sz w:val="18"/>
                <w:szCs w:val="18"/>
              </w:rPr>
              <w:t>生态经济发展</w:t>
            </w:r>
          </w:p>
        </w:tc>
        <w:tc>
          <w:tcPr>
            <w:tcW w:w="492" w:type="dxa"/>
            <w:vMerge w:val="restart"/>
            <w:vAlign w:val="center"/>
          </w:tcPr>
          <w:p>
            <w:pPr>
              <w:spacing w:line="240" w:lineRule="auto"/>
              <w:jc w:val="center"/>
              <w:rPr>
                <w:rFonts w:ascii="仿宋" w:hAnsi="仿宋"/>
                <w:color w:val="000000"/>
                <w:sz w:val="18"/>
                <w:szCs w:val="18"/>
              </w:rPr>
            </w:pPr>
            <w:r>
              <w:rPr>
                <w:rFonts w:hint="eastAsia" w:ascii="仿宋" w:hAnsi="仿宋"/>
                <w:color w:val="000000"/>
                <w:sz w:val="18"/>
                <w:szCs w:val="18"/>
              </w:rPr>
              <w:t>产业结构优化水平</w:t>
            </w: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2</w:t>
            </w:r>
          </w:p>
        </w:tc>
        <w:tc>
          <w:tcPr>
            <w:tcW w:w="2032" w:type="dxa"/>
            <w:vAlign w:val="center"/>
          </w:tcPr>
          <w:p>
            <w:pPr>
              <w:spacing w:line="240" w:lineRule="auto"/>
              <w:jc w:val="center"/>
              <w:rPr>
                <w:rFonts w:ascii="仿宋" w:hAnsi="仿宋"/>
                <w:sz w:val="18"/>
                <w:szCs w:val="18"/>
              </w:rPr>
            </w:pPr>
            <w:r>
              <w:rPr>
                <w:rFonts w:hint="eastAsia" w:ascii="仿宋" w:hAnsi="仿宋"/>
                <w:sz w:val="18"/>
                <w:szCs w:val="18"/>
              </w:rPr>
              <w:t>规模以上高技术工业增加值占规上工业增加值比重</w:t>
            </w:r>
          </w:p>
        </w:tc>
        <w:tc>
          <w:tcPr>
            <w:tcW w:w="851" w:type="dxa"/>
            <w:vAlign w:val="center"/>
          </w:tcPr>
          <w:p>
            <w:pPr>
              <w:spacing w:line="240" w:lineRule="auto"/>
              <w:jc w:val="center"/>
              <w:rPr>
                <w:rFonts w:ascii="仿宋" w:hAnsi="仿宋"/>
                <w:sz w:val="18"/>
                <w:szCs w:val="18"/>
              </w:rPr>
            </w:pPr>
            <w:r>
              <w:rPr>
                <w:rFonts w:ascii="仿宋" w:hAnsi="仿宋"/>
                <w:sz w:val="18"/>
                <w:szCs w:val="18"/>
              </w:rPr>
              <w:t>%</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w:t>
            </w:r>
            <w:r>
              <w:rPr>
                <w:rFonts w:ascii="仿宋" w:hAnsi="仿宋"/>
                <w:sz w:val="18"/>
                <w:szCs w:val="18"/>
              </w:rPr>
              <w:t>39.8</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w:t>
            </w:r>
            <w:r>
              <w:rPr>
                <w:rFonts w:ascii="仿宋" w:hAnsi="仿宋"/>
                <w:sz w:val="18"/>
                <w:szCs w:val="18"/>
              </w:rPr>
              <w:t>45</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3</w:t>
            </w:r>
          </w:p>
        </w:tc>
        <w:tc>
          <w:tcPr>
            <w:tcW w:w="2032" w:type="dxa"/>
            <w:vAlign w:val="center"/>
          </w:tcPr>
          <w:p>
            <w:pPr>
              <w:spacing w:line="240" w:lineRule="auto"/>
              <w:jc w:val="center"/>
              <w:rPr>
                <w:rFonts w:ascii="仿宋" w:hAnsi="仿宋"/>
                <w:sz w:val="18"/>
                <w:szCs w:val="18"/>
              </w:rPr>
            </w:pPr>
            <w:r>
              <w:rPr>
                <w:rFonts w:hint="eastAsia" w:ascii="仿宋" w:hAnsi="仿宋"/>
                <w:sz w:val="18"/>
                <w:szCs w:val="18"/>
              </w:rPr>
              <w:t>单位地区生产总值能源消耗降低</w:t>
            </w:r>
          </w:p>
        </w:tc>
        <w:tc>
          <w:tcPr>
            <w:tcW w:w="851" w:type="dxa"/>
            <w:vAlign w:val="center"/>
          </w:tcPr>
          <w:p>
            <w:pPr>
              <w:spacing w:line="240" w:lineRule="auto"/>
              <w:jc w:val="center"/>
              <w:rPr>
                <w:rFonts w:ascii="仿宋" w:hAnsi="仿宋"/>
                <w:sz w:val="18"/>
                <w:szCs w:val="18"/>
              </w:rPr>
            </w:pPr>
            <w:r>
              <w:rPr>
                <w:rFonts w:ascii="仿宋" w:hAnsi="仿宋"/>
                <w:sz w:val="18"/>
                <w:szCs w:val="18"/>
              </w:rPr>
              <w:t>%</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十三五累计下降12%</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完成省下达指标</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4</w:t>
            </w:r>
          </w:p>
        </w:tc>
        <w:tc>
          <w:tcPr>
            <w:tcW w:w="2032" w:type="dxa"/>
            <w:vAlign w:val="center"/>
          </w:tcPr>
          <w:p>
            <w:pPr>
              <w:spacing w:line="240" w:lineRule="auto"/>
              <w:jc w:val="center"/>
              <w:rPr>
                <w:rFonts w:ascii="仿宋" w:hAnsi="仿宋"/>
                <w:sz w:val="18"/>
                <w:szCs w:val="18"/>
              </w:rPr>
            </w:pPr>
            <w:bookmarkStart w:id="10" w:name="_Hlk78780512"/>
            <w:r>
              <w:rPr>
                <w:rFonts w:hint="eastAsia" w:ascii="仿宋" w:hAnsi="仿宋"/>
                <w:sz w:val="18"/>
                <w:szCs w:val="18"/>
              </w:rPr>
              <w:t>单位地区生产总值二氧化碳排放</w:t>
            </w:r>
            <w:bookmarkEnd w:id="10"/>
            <w:r>
              <w:rPr>
                <w:rFonts w:hint="eastAsia" w:ascii="仿宋" w:hAnsi="仿宋"/>
                <w:sz w:val="18"/>
                <w:szCs w:val="18"/>
              </w:rPr>
              <w:t>降低</w:t>
            </w:r>
          </w:p>
        </w:tc>
        <w:tc>
          <w:tcPr>
            <w:tcW w:w="851" w:type="dxa"/>
            <w:vAlign w:val="center"/>
          </w:tcPr>
          <w:p>
            <w:pPr>
              <w:spacing w:line="240" w:lineRule="auto"/>
              <w:jc w:val="center"/>
              <w:rPr>
                <w:rFonts w:ascii="仿宋" w:hAnsi="仿宋"/>
                <w:sz w:val="18"/>
                <w:szCs w:val="18"/>
              </w:rPr>
            </w:pPr>
            <w:r>
              <w:rPr>
                <w:rFonts w:ascii="仿宋" w:hAnsi="仿宋"/>
                <w:color w:val="000000"/>
                <w:sz w:val="18"/>
                <w:szCs w:val="18"/>
              </w:rPr>
              <w:t>%</w:t>
            </w:r>
          </w:p>
        </w:tc>
        <w:tc>
          <w:tcPr>
            <w:tcW w:w="1134" w:type="dxa"/>
            <w:vAlign w:val="center"/>
          </w:tcPr>
          <w:p>
            <w:pPr>
              <w:spacing w:line="240" w:lineRule="auto"/>
              <w:jc w:val="center"/>
              <w:rPr>
                <w:rFonts w:ascii="仿宋" w:hAnsi="仿宋"/>
                <w:sz w:val="18"/>
                <w:szCs w:val="18"/>
              </w:rPr>
            </w:pPr>
            <w:r>
              <w:rPr>
                <w:rFonts w:hint="eastAsia" w:ascii="仿宋" w:hAnsi="仿宋"/>
                <w:color w:val="000000"/>
                <w:sz w:val="18"/>
                <w:szCs w:val="18"/>
              </w:rPr>
              <w:t>已完成省下达指标</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完成省下达指标</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restart"/>
            <w:vAlign w:val="center"/>
          </w:tcPr>
          <w:p>
            <w:pPr>
              <w:spacing w:line="240" w:lineRule="auto"/>
              <w:jc w:val="center"/>
              <w:rPr>
                <w:rFonts w:ascii="仿宋" w:hAnsi="仿宋"/>
                <w:color w:val="000000"/>
                <w:sz w:val="18"/>
                <w:szCs w:val="18"/>
              </w:rPr>
            </w:pPr>
            <w:r>
              <w:rPr>
                <w:rFonts w:hint="eastAsia" w:ascii="仿宋" w:hAnsi="仿宋"/>
                <w:color w:val="000000"/>
                <w:sz w:val="18"/>
                <w:szCs w:val="18"/>
              </w:rPr>
              <w:t>生态环境发展</w:t>
            </w:r>
          </w:p>
        </w:tc>
        <w:tc>
          <w:tcPr>
            <w:tcW w:w="492" w:type="dxa"/>
            <w:vMerge w:val="restart"/>
            <w:vAlign w:val="center"/>
          </w:tcPr>
          <w:p>
            <w:pPr>
              <w:spacing w:line="240" w:lineRule="auto"/>
              <w:jc w:val="center"/>
              <w:rPr>
                <w:rFonts w:ascii="仿宋" w:hAnsi="仿宋"/>
                <w:color w:val="000000"/>
                <w:sz w:val="18"/>
                <w:szCs w:val="18"/>
              </w:rPr>
            </w:pPr>
            <w:r>
              <w:rPr>
                <w:rFonts w:hint="eastAsia" w:ascii="仿宋" w:hAnsi="仿宋"/>
                <w:color w:val="000000"/>
                <w:sz w:val="18"/>
                <w:szCs w:val="18"/>
              </w:rPr>
              <w:t>人居环境质量</w:t>
            </w: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5</w:t>
            </w:r>
          </w:p>
        </w:tc>
        <w:tc>
          <w:tcPr>
            <w:tcW w:w="2032" w:type="dxa"/>
            <w:vAlign w:val="center"/>
          </w:tcPr>
          <w:p>
            <w:pPr>
              <w:spacing w:line="240" w:lineRule="auto"/>
              <w:jc w:val="center"/>
              <w:rPr>
                <w:rFonts w:ascii="仿宋" w:hAnsi="仿宋"/>
                <w:sz w:val="18"/>
                <w:szCs w:val="18"/>
              </w:rPr>
            </w:pPr>
            <w:r>
              <w:rPr>
                <w:rFonts w:hint="eastAsia" w:ascii="仿宋" w:hAnsi="仿宋"/>
                <w:sz w:val="18"/>
                <w:szCs w:val="18"/>
              </w:rPr>
              <w:t>空气质量优良天数比率</w:t>
            </w:r>
          </w:p>
        </w:tc>
        <w:tc>
          <w:tcPr>
            <w:tcW w:w="851" w:type="dxa"/>
            <w:vAlign w:val="center"/>
          </w:tcPr>
          <w:p>
            <w:pPr>
              <w:spacing w:line="240" w:lineRule="auto"/>
              <w:jc w:val="center"/>
              <w:rPr>
                <w:rFonts w:ascii="仿宋" w:hAnsi="仿宋"/>
                <w:color w:val="000000"/>
                <w:sz w:val="18"/>
                <w:szCs w:val="18"/>
              </w:rPr>
            </w:pPr>
            <w:r>
              <w:rPr>
                <w:rFonts w:ascii="仿宋" w:hAnsi="仿宋"/>
                <w:color w:val="000000"/>
                <w:sz w:val="18"/>
                <w:szCs w:val="18"/>
              </w:rPr>
              <w:t>%</w:t>
            </w:r>
          </w:p>
        </w:tc>
        <w:tc>
          <w:tcPr>
            <w:tcW w:w="1134"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99.7</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完成国家下达指标</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6</w:t>
            </w:r>
          </w:p>
        </w:tc>
        <w:tc>
          <w:tcPr>
            <w:tcW w:w="2032" w:type="dxa"/>
            <w:vAlign w:val="center"/>
          </w:tcPr>
          <w:p>
            <w:pPr>
              <w:spacing w:line="240" w:lineRule="auto"/>
              <w:jc w:val="center"/>
              <w:rPr>
                <w:rFonts w:ascii="仿宋" w:hAnsi="仿宋"/>
                <w:sz w:val="18"/>
                <w:szCs w:val="18"/>
              </w:rPr>
            </w:pPr>
            <w:r>
              <w:rPr>
                <w:rFonts w:hint="eastAsia" w:ascii="仿宋" w:hAnsi="仿宋"/>
                <w:sz w:val="18"/>
                <w:szCs w:val="18"/>
              </w:rPr>
              <w:t>细颗粒物（</w:t>
            </w:r>
            <w:r>
              <w:rPr>
                <w:rFonts w:ascii="仿宋" w:hAnsi="仿宋"/>
                <w:sz w:val="18"/>
                <w:szCs w:val="18"/>
              </w:rPr>
              <w:t>PM2.5</w:t>
            </w:r>
            <w:r>
              <w:rPr>
                <w:rFonts w:hint="eastAsia" w:ascii="仿宋" w:hAnsi="仿宋"/>
                <w:sz w:val="18"/>
                <w:szCs w:val="18"/>
              </w:rPr>
              <w:t>）年均浓度</w:t>
            </w:r>
          </w:p>
        </w:tc>
        <w:tc>
          <w:tcPr>
            <w:tcW w:w="851" w:type="dxa"/>
            <w:vAlign w:val="center"/>
          </w:tcPr>
          <w:p>
            <w:pPr>
              <w:spacing w:line="240" w:lineRule="auto"/>
              <w:jc w:val="center"/>
              <w:rPr>
                <w:rFonts w:ascii="仿宋" w:hAnsi="仿宋"/>
                <w:color w:val="000000"/>
                <w:sz w:val="18"/>
                <w:szCs w:val="18"/>
              </w:rPr>
            </w:pPr>
            <w:r>
              <w:rPr>
                <w:rFonts w:ascii="仿宋" w:hAnsi="仿宋"/>
                <w:color w:val="000000"/>
                <w:sz w:val="18"/>
                <w:szCs w:val="18"/>
              </w:rPr>
              <w:t>ug/m</w:t>
            </w:r>
            <w:r>
              <w:rPr>
                <w:rFonts w:ascii="仿宋" w:hAnsi="仿宋"/>
                <w:color w:val="000000"/>
                <w:sz w:val="18"/>
                <w:szCs w:val="18"/>
                <w:vertAlign w:val="superscript"/>
              </w:rPr>
              <w:t>3</w:t>
            </w:r>
          </w:p>
        </w:tc>
        <w:tc>
          <w:tcPr>
            <w:tcW w:w="1134" w:type="dxa"/>
            <w:vAlign w:val="center"/>
          </w:tcPr>
          <w:p>
            <w:pPr>
              <w:spacing w:line="240" w:lineRule="auto"/>
              <w:jc w:val="center"/>
              <w:rPr>
                <w:rFonts w:ascii="仿宋" w:hAnsi="仿宋"/>
                <w:color w:val="000000"/>
                <w:sz w:val="18"/>
                <w:szCs w:val="18"/>
              </w:rPr>
            </w:pPr>
            <w:r>
              <w:rPr>
                <w:rFonts w:ascii="仿宋" w:hAnsi="仿宋"/>
                <w:color w:val="000000"/>
                <w:sz w:val="18"/>
                <w:szCs w:val="18"/>
              </w:rPr>
              <w:t>18</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完成省下达指标</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7</w:t>
            </w:r>
          </w:p>
        </w:tc>
        <w:tc>
          <w:tcPr>
            <w:tcW w:w="2032" w:type="dxa"/>
            <w:vAlign w:val="center"/>
          </w:tcPr>
          <w:p>
            <w:pPr>
              <w:spacing w:line="240" w:lineRule="auto"/>
              <w:jc w:val="center"/>
              <w:rPr>
                <w:rFonts w:ascii="仿宋" w:hAnsi="仿宋"/>
                <w:sz w:val="18"/>
                <w:szCs w:val="18"/>
              </w:rPr>
            </w:pPr>
            <w:r>
              <w:rPr>
                <w:rFonts w:hint="eastAsia" w:ascii="仿宋" w:hAnsi="仿宋"/>
                <w:sz w:val="18"/>
                <w:szCs w:val="18"/>
              </w:rPr>
              <w:t>地表水质量达到或好于Ⅲ类水体比例</w:t>
            </w:r>
          </w:p>
        </w:tc>
        <w:tc>
          <w:tcPr>
            <w:tcW w:w="851" w:type="dxa"/>
            <w:vAlign w:val="center"/>
          </w:tcPr>
          <w:p>
            <w:pPr>
              <w:spacing w:line="240" w:lineRule="auto"/>
              <w:jc w:val="center"/>
              <w:rPr>
                <w:rFonts w:ascii="仿宋" w:hAnsi="仿宋"/>
                <w:color w:val="000000"/>
                <w:sz w:val="18"/>
                <w:szCs w:val="18"/>
              </w:rPr>
            </w:pPr>
            <w:r>
              <w:rPr>
                <w:rFonts w:ascii="仿宋" w:hAnsi="仿宋"/>
                <w:color w:val="000000"/>
                <w:sz w:val="18"/>
                <w:szCs w:val="18"/>
              </w:rPr>
              <w:t>%</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80</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83.3</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8</w:t>
            </w:r>
          </w:p>
        </w:tc>
        <w:tc>
          <w:tcPr>
            <w:tcW w:w="2032" w:type="dxa"/>
            <w:vAlign w:val="center"/>
          </w:tcPr>
          <w:p>
            <w:pPr>
              <w:spacing w:line="240" w:lineRule="auto"/>
              <w:jc w:val="center"/>
              <w:rPr>
                <w:rFonts w:ascii="仿宋" w:hAnsi="仿宋"/>
                <w:sz w:val="18"/>
                <w:szCs w:val="18"/>
              </w:rPr>
            </w:pPr>
            <w:r>
              <w:rPr>
                <w:rFonts w:hint="eastAsia" w:ascii="仿宋" w:hAnsi="仿宋"/>
                <w:sz w:val="18"/>
                <w:szCs w:val="18"/>
              </w:rPr>
              <w:t>近岸海域水质优良（一、二类）面积比例</w:t>
            </w:r>
          </w:p>
        </w:tc>
        <w:tc>
          <w:tcPr>
            <w:tcW w:w="851"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82.4</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85</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9</w:t>
            </w:r>
          </w:p>
        </w:tc>
        <w:tc>
          <w:tcPr>
            <w:tcW w:w="2032" w:type="dxa"/>
            <w:vAlign w:val="center"/>
          </w:tcPr>
          <w:p>
            <w:pPr>
              <w:spacing w:line="240" w:lineRule="auto"/>
              <w:jc w:val="center"/>
              <w:rPr>
                <w:rFonts w:ascii="仿宋" w:hAnsi="仿宋"/>
                <w:sz w:val="18"/>
                <w:szCs w:val="18"/>
              </w:rPr>
            </w:pPr>
            <w:r>
              <w:rPr>
                <w:rFonts w:hint="eastAsia" w:ascii="仿宋" w:hAnsi="仿宋"/>
                <w:sz w:val="18"/>
                <w:szCs w:val="18"/>
              </w:rPr>
              <w:t>重点建设用地安全利用率</w:t>
            </w:r>
          </w:p>
        </w:tc>
        <w:tc>
          <w:tcPr>
            <w:tcW w:w="851" w:type="dxa"/>
            <w:vAlign w:val="center"/>
          </w:tcPr>
          <w:p>
            <w:pPr>
              <w:spacing w:line="240" w:lineRule="auto"/>
              <w:jc w:val="center"/>
              <w:rPr>
                <w:rFonts w:ascii="仿宋" w:hAnsi="仿宋"/>
                <w:color w:val="000000"/>
                <w:sz w:val="18"/>
                <w:szCs w:val="18"/>
              </w:rPr>
            </w:pPr>
            <w:r>
              <w:rPr>
                <w:rFonts w:ascii="仿宋" w:hAnsi="仿宋"/>
                <w:color w:val="000000"/>
                <w:sz w:val="18"/>
                <w:szCs w:val="18"/>
              </w:rPr>
              <w:t>%</w:t>
            </w:r>
          </w:p>
        </w:tc>
        <w:tc>
          <w:tcPr>
            <w:tcW w:w="1134" w:type="dxa"/>
            <w:vAlign w:val="center"/>
          </w:tcPr>
          <w:p>
            <w:pPr>
              <w:spacing w:line="240" w:lineRule="auto"/>
              <w:ind w:firstLine="270" w:firstLineChars="150"/>
              <w:rPr>
                <w:rFonts w:ascii="仿宋" w:hAnsi="仿宋"/>
                <w:sz w:val="18"/>
                <w:szCs w:val="18"/>
              </w:rPr>
            </w:pPr>
            <w:r>
              <w:rPr>
                <w:rFonts w:hint="eastAsia" w:ascii="仿宋" w:hAnsi="仿宋"/>
                <w:sz w:val="18"/>
                <w:szCs w:val="18"/>
              </w:rPr>
              <w:t>100</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有效保障</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restart"/>
            <w:vAlign w:val="center"/>
          </w:tcPr>
          <w:p>
            <w:pPr>
              <w:spacing w:line="240" w:lineRule="auto"/>
              <w:jc w:val="center"/>
              <w:rPr>
                <w:rFonts w:ascii="仿宋" w:hAnsi="仿宋"/>
                <w:color w:val="000000"/>
                <w:sz w:val="18"/>
                <w:szCs w:val="18"/>
              </w:rPr>
            </w:pPr>
            <w:r>
              <w:rPr>
                <w:rFonts w:hint="eastAsia" w:ascii="仿宋" w:hAnsi="仿宋"/>
                <w:color w:val="000000"/>
                <w:sz w:val="18"/>
                <w:szCs w:val="18"/>
              </w:rPr>
              <w:t>生态系统活力</w:t>
            </w:r>
          </w:p>
        </w:tc>
        <w:tc>
          <w:tcPr>
            <w:tcW w:w="631" w:type="dxa"/>
            <w:noWrap/>
            <w:vAlign w:val="center"/>
          </w:tcPr>
          <w:p>
            <w:pPr>
              <w:spacing w:line="240" w:lineRule="auto"/>
              <w:jc w:val="center"/>
              <w:rPr>
                <w:rFonts w:ascii="仿宋" w:hAnsi="仿宋"/>
                <w:color w:val="000000"/>
                <w:sz w:val="18"/>
                <w:szCs w:val="18"/>
              </w:rPr>
            </w:pPr>
            <w:r>
              <w:rPr>
                <w:rFonts w:ascii="仿宋" w:hAnsi="仿宋"/>
                <w:color w:val="000000"/>
                <w:sz w:val="18"/>
                <w:szCs w:val="18"/>
              </w:rPr>
              <w:t>1</w:t>
            </w:r>
            <w:r>
              <w:rPr>
                <w:rFonts w:hint="eastAsia" w:ascii="仿宋" w:hAnsi="仿宋"/>
                <w:color w:val="000000"/>
                <w:sz w:val="18"/>
                <w:szCs w:val="18"/>
              </w:rPr>
              <w:t>0</w:t>
            </w:r>
          </w:p>
        </w:tc>
        <w:tc>
          <w:tcPr>
            <w:tcW w:w="2032" w:type="dxa"/>
            <w:vAlign w:val="center"/>
          </w:tcPr>
          <w:p>
            <w:pPr>
              <w:spacing w:line="240" w:lineRule="auto"/>
              <w:jc w:val="center"/>
              <w:rPr>
                <w:rFonts w:ascii="仿宋" w:hAnsi="仿宋"/>
                <w:sz w:val="18"/>
                <w:szCs w:val="18"/>
              </w:rPr>
            </w:pPr>
            <w:r>
              <w:rPr>
                <w:rFonts w:hint="eastAsia" w:ascii="仿宋" w:hAnsi="仿宋"/>
                <w:sz w:val="18"/>
                <w:szCs w:val="18"/>
              </w:rPr>
              <w:t>建成区绿化覆盖率</w:t>
            </w:r>
          </w:p>
        </w:tc>
        <w:tc>
          <w:tcPr>
            <w:tcW w:w="851" w:type="dxa"/>
            <w:vAlign w:val="center"/>
          </w:tcPr>
          <w:p>
            <w:pPr>
              <w:spacing w:line="240" w:lineRule="auto"/>
              <w:jc w:val="center"/>
              <w:rPr>
                <w:rFonts w:ascii="仿宋" w:hAnsi="仿宋"/>
                <w:color w:val="000000"/>
                <w:sz w:val="18"/>
                <w:szCs w:val="18"/>
              </w:rPr>
            </w:pPr>
            <w:r>
              <w:rPr>
                <w:rFonts w:ascii="仿宋" w:hAnsi="仿宋"/>
                <w:color w:val="000000"/>
                <w:sz w:val="18"/>
                <w:szCs w:val="18"/>
              </w:rPr>
              <w:t>%</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45.52</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达到国家园林城市指标要求</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ascii="仿宋" w:hAnsi="仿宋"/>
                <w:color w:val="000000"/>
                <w:sz w:val="18"/>
                <w:szCs w:val="18"/>
              </w:rPr>
              <w:t>1</w:t>
            </w:r>
            <w:r>
              <w:rPr>
                <w:rFonts w:hint="eastAsia" w:ascii="仿宋" w:hAnsi="仿宋"/>
                <w:color w:val="000000"/>
                <w:sz w:val="18"/>
                <w:szCs w:val="18"/>
              </w:rPr>
              <w:t>1</w:t>
            </w:r>
          </w:p>
        </w:tc>
        <w:tc>
          <w:tcPr>
            <w:tcW w:w="2032"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人均公园绿地面积</w:t>
            </w:r>
          </w:p>
        </w:tc>
        <w:tc>
          <w:tcPr>
            <w:tcW w:w="851"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平方米</w:t>
            </w:r>
            <w:r>
              <w:rPr>
                <w:rFonts w:ascii="仿宋" w:hAnsi="仿宋"/>
                <w:color w:val="000000"/>
                <w:sz w:val="18"/>
                <w:szCs w:val="18"/>
              </w:rPr>
              <w:t>/人</w:t>
            </w:r>
          </w:p>
        </w:tc>
        <w:tc>
          <w:tcPr>
            <w:tcW w:w="1134" w:type="dxa"/>
            <w:vAlign w:val="center"/>
          </w:tcPr>
          <w:p>
            <w:pPr>
              <w:spacing w:line="240" w:lineRule="auto"/>
              <w:jc w:val="center"/>
              <w:rPr>
                <w:rFonts w:ascii="仿宋" w:hAnsi="仿宋"/>
                <w:sz w:val="18"/>
                <w:szCs w:val="18"/>
              </w:rPr>
            </w:pPr>
            <w:r>
              <w:rPr>
                <w:rFonts w:ascii="仿宋" w:hAnsi="仿宋"/>
                <w:sz w:val="18"/>
                <w:szCs w:val="18"/>
              </w:rPr>
              <w:t>14.6</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达到国家园林城市指标要求</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ascii="仿宋" w:hAnsi="仿宋"/>
                <w:color w:val="000000"/>
                <w:sz w:val="18"/>
                <w:szCs w:val="18"/>
              </w:rPr>
              <w:t>1</w:t>
            </w:r>
            <w:r>
              <w:rPr>
                <w:rFonts w:hint="eastAsia" w:ascii="仿宋" w:hAnsi="仿宋"/>
                <w:color w:val="000000"/>
                <w:sz w:val="18"/>
                <w:szCs w:val="18"/>
              </w:rPr>
              <w:t>2</w:t>
            </w:r>
          </w:p>
        </w:tc>
        <w:tc>
          <w:tcPr>
            <w:tcW w:w="2032"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生态保护红线占国土面积比例</w:t>
            </w:r>
          </w:p>
        </w:tc>
        <w:tc>
          <w:tcPr>
            <w:tcW w:w="851" w:type="dxa"/>
            <w:vAlign w:val="center"/>
          </w:tcPr>
          <w:p>
            <w:pPr>
              <w:spacing w:line="240" w:lineRule="auto"/>
              <w:jc w:val="center"/>
              <w:rPr>
                <w:rFonts w:ascii="仿宋" w:hAnsi="仿宋"/>
                <w:color w:val="000000"/>
                <w:sz w:val="18"/>
                <w:szCs w:val="18"/>
              </w:rPr>
            </w:pPr>
            <w:r>
              <w:rPr>
                <w:rFonts w:ascii="仿宋" w:hAnsi="仿宋"/>
                <w:color w:val="000000"/>
                <w:sz w:val="18"/>
                <w:szCs w:val="18"/>
              </w:rPr>
              <w:t>%</w:t>
            </w:r>
          </w:p>
        </w:tc>
        <w:tc>
          <w:tcPr>
            <w:tcW w:w="1134"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以国务院批复为准</w:t>
            </w:r>
          </w:p>
        </w:tc>
        <w:tc>
          <w:tcPr>
            <w:tcW w:w="1134"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不降低</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13</w:t>
            </w:r>
          </w:p>
        </w:tc>
        <w:tc>
          <w:tcPr>
            <w:tcW w:w="2032"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森林覆盖率</w:t>
            </w:r>
          </w:p>
        </w:tc>
        <w:tc>
          <w:tcPr>
            <w:tcW w:w="851" w:type="dxa"/>
            <w:vAlign w:val="center"/>
          </w:tcPr>
          <w:p>
            <w:pPr>
              <w:spacing w:line="240" w:lineRule="auto"/>
              <w:jc w:val="center"/>
              <w:rPr>
                <w:rFonts w:ascii="仿宋" w:hAnsi="仿宋"/>
                <w:color w:val="000000"/>
                <w:sz w:val="18"/>
                <w:szCs w:val="18"/>
              </w:rPr>
            </w:pPr>
            <w:r>
              <w:rPr>
                <w:rFonts w:ascii="仿宋" w:hAnsi="仿宋"/>
                <w:color w:val="000000"/>
                <w:sz w:val="18"/>
                <w:szCs w:val="18"/>
              </w:rPr>
              <w:t>%</w:t>
            </w:r>
          </w:p>
        </w:tc>
        <w:tc>
          <w:tcPr>
            <w:tcW w:w="1134" w:type="dxa"/>
            <w:vAlign w:val="center"/>
          </w:tcPr>
          <w:p>
            <w:pPr>
              <w:spacing w:line="240" w:lineRule="auto"/>
              <w:jc w:val="center"/>
              <w:rPr>
                <w:rFonts w:ascii="仿宋" w:hAnsi="仿宋"/>
                <w:color w:val="000000"/>
                <w:sz w:val="18"/>
                <w:szCs w:val="18"/>
              </w:rPr>
            </w:pPr>
            <w:r>
              <w:rPr>
                <w:rFonts w:ascii="仿宋" w:hAnsi="仿宋"/>
                <w:color w:val="000000"/>
                <w:sz w:val="18"/>
                <w:szCs w:val="18"/>
              </w:rPr>
              <w:t>41.72</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完成省里下达指标</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951" w:type="dxa"/>
            <w:vMerge w:val="restart"/>
            <w:vAlign w:val="center"/>
          </w:tcPr>
          <w:p>
            <w:pPr>
              <w:spacing w:line="240" w:lineRule="auto"/>
              <w:jc w:val="center"/>
              <w:rPr>
                <w:rFonts w:ascii="仿宋" w:hAnsi="仿宋"/>
                <w:color w:val="000000"/>
                <w:sz w:val="18"/>
                <w:szCs w:val="18"/>
              </w:rPr>
            </w:pPr>
            <w:r>
              <w:rPr>
                <w:rFonts w:hint="eastAsia" w:ascii="仿宋" w:hAnsi="仿宋"/>
                <w:color w:val="000000"/>
                <w:sz w:val="18"/>
                <w:szCs w:val="18"/>
              </w:rPr>
              <w:t>生态人文发展</w:t>
            </w:r>
          </w:p>
        </w:tc>
        <w:tc>
          <w:tcPr>
            <w:tcW w:w="492" w:type="dxa"/>
            <w:vMerge w:val="restart"/>
            <w:vAlign w:val="center"/>
          </w:tcPr>
          <w:p>
            <w:pPr>
              <w:spacing w:line="240" w:lineRule="auto"/>
              <w:jc w:val="center"/>
              <w:rPr>
                <w:rFonts w:ascii="仿宋" w:hAnsi="仿宋"/>
                <w:color w:val="000000"/>
                <w:sz w:val="18"/>
                <w:szCs w:val="18"/>
              </w:rPr>
            </w:pPr>
            <w:r>
              <w:rPr>
                <w:rFonts w:hint="eastAsia" w:ascii="仿宋" w:hAnsi="仿宋"/>
                <w:color w:val="000000"/>
                <w:sz w:val="18"/>
                <w:szCs w:val="18"/>
              </w:rPr>
              <w:t>绿色生活水平</w:t>
            </w: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14</w:t>
            </w:r>
          </w:p>
        </w:tc>
        <w:tc>
          <w:tcPr>
            <w:tcW w:w="2032"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绿色出行比例</w:t>
            </w:r>
          </w:p>
        </w:tc>
        <w:tc>
          <w:tcPr>
            <w:tcW w:w="851" w:type="dxa"/>
            <w:vAlign w:val="center"/>
          </w:tcPr>
          <w:p>
            <w:pPr>
              <w:spacing w:line="240" w:lineRule="auto"/>
              <w:jc w:val="center"/>
              <w:rPr>
                <w:rFonts w:ascii="仿宋" w:hAnsi="仿宋"/>
                <w:color w:val="000000"/>
                <w:sz w:val="18"/>
                <w:szCs w:val="18"/>
              </w:rPr>
            </w:pPr>
            <w:r>
              <w:rPr>
                <w:rFonts w:ascii="仿宋" w:hAnsi="仿宋"/>
                <w:color w:val="000000"/>
                <w:sz w:val="18"/>
                <w:szCs w:val="18"/>
              </w:rPr>
              <w:t>%</w:t>
            </w:r>
          </w:p>
        </w:tc>
        <w:tc>
          <w:tcPr>
            <w:tcW w:w="1134" w:type="dxa"/>
            <w:vAlign w:val="center"/>
          </w:tcPr>
          <w:p>
            <w:pPr>
              <w:spacing w:line="240" w:lineRule="auto"/>
              <w:jc w:val="center"/>
              <w:rPr>
                <w:rFonts w:ascii="仿宋" w:hAnsi="仿宋"/>
                <w:color w:val="000000"/>
                <w:sz w:val="18"/>
                <w:szCs w:val="18"/>
              </w:rPr>
            </w:pPr>
            <w:r>
              <w:rPr>
                <w:rFonts w:ascii="仿宋" w:hAnsi="仿宋"/>
                <w:color w:val="000000"/>
                <w:sz w:val="18"/>
                <w:szCs w:val="18"/>
              </w:rPr>
              <w:t>70</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w:t>
            </w:r>
            <w:r>
              <w:rPr>
                <w:rFonts w:ascii="仿宋" w:hAnsi="仿宋"/>
                <w:sz w:val="18"/>
                <w:szCs w:val="18"/>
              </w:rPr>
              <w:t>70</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15</w:t>
            </w:r>
          </w:p>
        </w:tc>
        <w:tc>
          <w:tcPr>
            <w:tcW w:w="2032"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人均生活垃圾日产生量</w:t>
            </w:r>
          </w:p>
        </w:tc>
        <w:tc>
          <w:tcPr>
            <w:tcW w:w="851"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千克</w:t>
            </w:r>
            <w:r>
              <w:rPr>
                <w:rFonts w:ascii="仿宋" w:hAnsi="仿宋"/>
                <w:color w:val="000000"/>
                <w:sz w:val="18"/>
                <w:szCs w:val="18"/>
              </w:rPr>
              <w:t>/日</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0.98</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≤1.15</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restart"/>
            <w:vAlign w:val="center"/>
          </w:tcPr>
          <w:p>
            <w:pPr>
              <w:spacing w:line="240" w:lineRule="auto"/>
              <w:jc w:val="center"/>
              <w:rPr>
                <w:rFonts w:ascii="仿宋" w:hAnsi="仿宋"/>
                <w:color w:val="000000"/>
                <w:sz w:val="18"/>
                <w:szCs w:val="18"/>
              </w:rPr>
            </w:pPr>
            <w:r>
              <w:rPr>
                <w:rFonts w:hint="eastAsia" w:ascii="仿宋" w:hAnsi="仿宋"/>
                <w:color w:val="000000"/>
                <w:sz w:val="18"/>
                <w:szCs w:val="18"/>
              </w:rPr>
              <w:t>共建共治水平</w:t>
            </w: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16</w:t>
            </w:r>
          </w:p>
        </w:tc>
        <w:tc>
          <w:tcPr>
            <w:tcW w:w="2032" w:type="dxa"/>
            <w:vAlign w:val="center"/>
          </w:tcPr>
          <w:p>
            <w:pPr>
              <w:spacing w:line="240" w:lineRule="auto"/>
              <w:jc w:val="center"/>
              <w:rPr>
                <w:rFonts w:ascii="仿宋" w:hAnsi="仿宋"/>
                <w:color w:val="000000"/>
                <w:sz w:val="18"/>
                <w:szCs w:val="18"/>
              </w:rPr>
            </w:pPr>
          </w:p>
          <w:p>
            <w:pPr>
              <w:spacing w:line="240" w:lineRule="auto"/>
              <w:jc w:val="center"/>
              <w:rPr>
                <w:rFonts w:ascii="仿宋" w:hAnsi="仿宋"/>
                <w:color w:val="000000"/>
                <w:sz w:val="18"/>
                <w:szCs w:val="18"/>
              </w:rPr>
            </w:pPr>
            <w:r>
              <w:rPr>
                <w:rFonts w:hint="eastAsia" w:ascii="仿宋" w:hAnsi="仿宋"/>
                <w:color w:val="000000"/>
                <w:sz w:val="18"/>
                <w:szCs w:val="18"/>
              </w:rPr>
              <w:t>生态环境教育课时</w:t>
            </w:r>
          </w:p>
          <w:p>
            <w:pPr>
              <w:spacing w:line="240" w:lineRule="auto"/>
              <w:jc w:val="center"/>
              <w:rPr>
                <w:rFonts w:ascii="仿宋" w:hAnsi="仿宋"/>
                <w:color w:val="000000"/>
                <w:sz w:val="18"/>
                <w:szCs w:val="18"/>
              </w:rPr>
            </w:pPr>
          </w:p>
        </w:tc>
        <w:tc>
          <w:tcPr>
            <w:tcW w:w="851"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个</w:t>
            </w:r>
          </w:p>
        </w:tc>
        <w:tc>
          <w:tcPr>
            <w:tcW w:w="1134" w:type="dxa"/>
            <w:vAlign w:val="center"/>
          </w:tcPr>
          <w:p>
            <w:pPr>
              <w:spacing w:line="240" w:lineRule="auto"/>
              <w:jc w:val="center"/>
              <w:rPr>
                <w:rFonts w:ascii="仿宋" w:hAnsi="仿宋"/>
                <w:color w:val="FF0000"/>
                <w:sz w:val="18"/>
                <w:szCs w:val="18"/>
              </w:rPr>
            </w:pPr>
            <w:r>
              <w:rPr>
                <w:rFonts w:hint="eastAsia" w:ascii="仿宋" w:hAnsi="仿宋"/>
                <w:sz w:val="18"/>
                <w:szCs w:val="18"/>
              </w:rPr>
              <w:t>≥12</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w:t>
            </w:r>
            <w:r>
              <w:rPr>
                <w:rFonts w:ascii="仿宋" w:hAnsi="仿宋"/>
                <w:sz w:val="18"/>
                <w:szCs w:val="18"/>
              </w:rPr>
              <w:t>14</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trPr>
        <w:tc>
          <w:tcPr>
            <w:tcW w:w="951" w:type="dxa"/>
            <w:vMerge w:val="continue"/>
            <w:vAlign w:val="center"/>
          </w:tcPr>
          <w:p>
            <w:pPr>
              <w:spacing w:line="240" w:lineRule="auto"/>
              <w:jc w:val="center"/>
              <w:rPr>
                <w:rFonts w:ascii="仿宋" w:hAnsi="仿宋" w:cs="宋体"/>
                <w:color w:val="000000"/>
                <w:sz w:val="18"/>
                <w:szCs w:val="18"/>
              </w:rPr>
            </w:pPr>
          </w:p>
        </w:tc>
        <w:tc>
          <w:tcPr>
            <w:tcW w:w="492" w:type="dxa"/>
            <w:vMerge w:val="continue"/>
            <w:vAlign w:val="center"/>
          </w:tcPr>
          <w:p>
            <w:pPr>
              <w:spacing w:line="240" w:lineRule="auto"/>
              <w:jc w:val="center"/>
              <w:rPr>
                <w:rFonts w:ascii="仿宋" w:hAnsi="仿宋" w:cs="宋体"/>
                <w:color w:val="000000"/>
                <w:sz w:val="18"/>
                <w:szCs w:val="18"/>
              </w:rPr>
            </w:pPr>
          </w:p>
        </w:tc>
        <w:tc>
          <w:tcPr>
            <w:tcW w:w="631"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17</w:t>
            </w:r>
          </w:p>
        </w:tc>
        <w:tc>
          <w:tcPr>
            <w:tcW w:w="2032" w:type="dxa"/>
            <w:noWrap/>
            <w:vAlign w:val="center"/>
          </w:tcPr>
          <w:p>
            <w:pPr>
              <w:spacing w:line="240" w:lineRule="auto"/>
              <w:jc w:val="center"/>
              <w:rPr>
                <w:rFonts w:ascii="仿宋" w:hAnsi="仿宋"/>
                <w:color w:val="000000"/>
                <w:sz w:val="18"/>
                <w:szCs w:val="18"/>
              </w:rPr>
            </w:pPr>
            <w:r>
              <w:rPr>
                <w:rFonts w:hint="eastAsia" w:ascii="仿宋" w:hAnsi="仿宋"/>
                <w:color w:val="000000"/>
                <w:sz w:val="18"/>
                <w:szCs w:val="18"/>
              </w:rPr>
              <w:t>公众对生态文明建设的满意度</w:t>
            </w:r>
          </w:p>
        </w:tc>
        <w:tc>
          <w:tcPr>
            <w:tcW w:w="851" w:type="dxa"/>
            <w:vAlign w:val="center"/>
          </w:tcPr>
          <w:p>
            <w:pPr>
              <w:spacing w:line="240" w:lineRule="auto"/>
              <w:jc w:val="center"/>
              <w:rPr>
                <w:rFonts w:ascii="仿宋" w:hAnsi="仿宋"/>
                <w:color w:val="000000"/>
                <w:sz w:val="18"/>
                <w:szCs w:val="18"/>
              </w:rPr>
            </w:pPr>
            <w:r>
              <w:rPr>
                <w:rFonts w:ascii="仿宋" w:hAnsi="仿宋"/>
                <w:color w:val="000000"/>
                <w:sz w:val="18"/>
                <w:szCs w:val="18"/>
              </w:rPr>
              <w:t>%</w:t>
            </w:r>
          </w:p>
        </w:tc>
        <w:tc>
          <w:tcPr>
            <w:tcW w:w="1134" w:type="dxa"/>
            <w:vAlign w:val="center"/>
          </w:tcPr>
          <w:p>
            <w:pPr>
              <w:spacing w:line="240" w:lineRule="auto"/>
              <w:jc w:val="center"/>
              <w:rPr>
                <w:rFonts w:ascii="仿宋" w:hAnsi="仿宋"/>
                <w:color w:val="000000"/>
                <w:sz w:val="18"/>
                <w:szCs w:val="18"/>
              </w:rPr>
            </w:pPr>
            <w:r>
              <w:rPr>
                <w:rFonts w:hint="eastAsia" w:ascii="仿宋" w:hAnsi="仿宋"/>
                <w:color w:val="000000"/>
                <w:sz w:val="18"/>
                <w:szCs w:val="18"/>
              </w:rPr>
              <w:t>94.7</w:t>
            </w:r>
          </w:p>
        </w:tc>
        <w:tc>
          <w:tcPr>
            <w:tcW w:w="1134" w:type="dxa"/>
            <w:vAlign w:val="center"/>
          </w:tcPr>
          <w:p>
            <w:pPr>
              <w:spacing w:line="240" w:lineRule="auto"/>
              <w:jc w:val="center"/>
              <w:rPr>
                <w:rFonts w:ascii="仿宋" w:hAnsi="仿宋"/>
                <w:sz w:val="18"/>
                <w:szCs w:val="18"/>
              </w:rPr>
            </w:pPr>
            <w:r>
              <w:rPr>
                <w:rFonts w:hint="eastAsia" w:ascii="仿宋" w:hAnsi="仿宋"/>
                <w:sz w:val="18"/>
                <w:szCs w:val="18"/>
              </w:rPr>
              <w:t>≥95</w:t>
            </w:r>
          </w:p>
        </w:tc>
        <w:tc>
          <w:tcPr>
            <w:tcW w:w="848" w:type="dxa"/>
            <w:vAlign w:val="center"/>
          </w:tcPr>
          <w:p>
            <w:pPr>
              <w:spacing w:line="240" w:lineRule="auto"/>
              <w:jc w:val="center"/>
              <w:rPr>
                <w:rFonts w:ascii="仿宋" w:hAnsi="仿宋"/>
                <w:sz w:val="18"/>
                <w:szCs w:val="18"/>
              </w:rPr>
            </w:pPr>
            <w:r>
              <w:rPr>
                <w:rFonts w:hint="eastAsia" w:ascii="仿宋" w:hAnsi="仿宋"/>
                <w:sz w:val="18"/>
                <w:szCs w:val="18"/>
              </w:rPr>
              <w:t>预期性</w:t>
            </w:r>
          </w:p>
        </w:tc>
      </w:tr>
      <w:bookmarkEnd w:id="9"/>
    </w:tbl>
    <w:p>
      <w:pPr>
        <w:pStyle w:val="3"/>
      </w:pPr>
      <w:bookmarkStart w:id="11" w:name="_Toc83204013"/>
      <w:r>
        <w:br w:type="page"/>
      </w:r>
      <w:r>
        <w:rPr>
          <w:rFonts w:hint="eastAsia"/>
        </w:rPr>
        <w:t>第四节  发展路径</w:t>
      </w:r>
      <w:bookmarkEnd w:id="11"/>
    </w:p>
    <w:p>
      <w:pPr>
        <w:ind w:firstLine="600" w:firstLineChars="200"/>
      </w:pPr>
      <w:r>
        <w:rPr>
          <w:rFonts w:ascii="黑体" w:hAnsi="黑体" w:eastAsia="黑体"/>
        </w:rPr>
        <w:pict>
          <v:shape id="图片 101" o:spid="_x0000_s1028" o:spt="75" type="#_x0000_t75" style="position:absolute;left:0pt;margin-left:-6.85pt;margin-top:203.9pt;height:314.05pt;width:468pt;mso-wrap-distance-bottom:0pt;mso-wrap-distance-left:9pt;mso-wrap-distance-right:9pt;mso-wrap-distance-top:0pt;z-index:251658240;mso-width-relative:page;mso-height-relative:page;" filled="f" o:preferrelative="t" stroked="f" coordsize="21600,21600">
            <v:path/>
            <v:fill on="f" focussize="0,0"/>
            <v:stroke on="f" joinstyle="miter"/>
            <v:imagedata r:id="rId14" o:title=""/>
            <o:lock v:ext="edit" aspectratio="t"/>
            <w10:wrap type="square"/>
          </v:shape>
        </w:pict>
      </w:r>
      <w:r>
        <w:rPr>
          <w:rFonts w:hint="eastAsia"/>
        </w:rPr>
        <w:t>紧盯“十四五”生态文明建设全国“双领先”“双典范”目标，聚焦二氧化碳排放达峰、绿色经济体系建设、人居环境美化优化、绿色生活方式形成、社会全民共建共治、城市与生态深度融合六个重点，谋划“六大工程”，积极采取闽西南协同、国际合作“两大行动”，持续深化生态文明体制改革，实现生态经济、生态环境、生态人文协同互促、融合发展，走出一条具有全国典范效应的“美丽厦门”建设道路。</w:t>
      </w:r>
    </w:p>
    <w:p>
      <w:pPr>
        <w:pStyle w:val="6"/>
        <w:rPr>
          <w:rFonts w:ascii="黑体" w:hAnsi="黑体" w:eastAsia="黑体"/>
        </w:rPr>
      </w:pPr>
      <w:r>
        <w:rPr>
          <w:rFonts w:ascii="黑体" w:hAnsi="黑体" w:eastAsia="黑体"/>
        </w:rPr>
        <w:t>图 3</w:t>
      </w:r>
      <w:r>
        <w:rPr>
          <w:rFonts w:hint="eastAsia" w:ascii="黑体" w:hAnsi="黑体" w:eastAsia="黑体"/>
        </w:rPr>
        <w:t xml:space="preserve"> 厦门市生态文明建设目标与工程框架图</w:t>
      </w:r>
    </w:p>
    <w:p>
      <w:pPr>
        <w:ind w:firstLine="600" w:firstLineChars="200"/>
      </w:pPr>
      <w:r>
        <w:rPr>
          <w:rFonts w:hint="eastAsia"/>
        </w:rPr>
        <w:t>以生态经济发展为</w:t>
      </w:r>
      <w:r>
        <w:rPr>
          <w:rFonts w:hint="eastAsia"/>
          <w:b/>
        </w:rPr>
        <w:t>根本</w:t>
      </w:r>
      <w:r>
        <w:rPr>
          <w:rFonts w:hint="eastAsia"/>
        </w:rPr>
        <w:t>，谋划二氧化碳排放达峰与绿色经济高质量提升两大工程，加快能源结构优化，力促各</w:t>
      </w:r>
      <w:r>
        <w:t>重</w:t>
      </w:r>
      <w:r>
        <w:rPr>
          <w:rFonts w:hint="eastAsia"/>
        </w:rPr>
        <w:t>点领域能源消费转型，全面优化产业结构，提高绿色生产效率效能，推进绿色产业快速发展，推动生态产品价值转化。着力解决经济发展与生态保护的核心矛盾，提升生态经济水平，夯实发展基础。</w:t>
      </w:r>
    </w:p>
    <w:p>
      <w:pPr>
        <w:ind w:firstLine="600" w:firstLineChars="200"/>
      </w:pPr>
      <w:r>
        <w:rPr>
          <w:rFonts w:hint="eastAsia"/>
        </w:rPr>
        <w:t>以生态环境发展为</w:t>
      </w:r>
      <w:r>
        <w:rPr>
          <w:rFonts w:hint="eastAsia"/>
          <w:b/>
          <w:bCs/>
        </w:rPr>
        <w:t>重点</w:t>
      </w:r>
      <w:r>
        <w:rPr>
          <w:rFonts w:hint="eastAsia"/>
        </w:rPr>
        <w:t>，谋划人居环境高品质提升工程，推进水环境综合治理，推进陆海水系协同治理，深化大气环境系统治理，强化土壤安全与固废治理，优化提升农村人居环境。进一步加强生态环保的规范化、系统化，扩大厦门人居环境品质优势。</w:t>
      </w:r>
    </w:p>
    <w:p>
      <w:pPr>
        <w:ind w:firstLine="600" w:firstLineChars="200"/>
      </w:pPr>
      <w:r>
        <w:rPr>
          <w:rFonts w:hint="eastAsia"/>
        </w:rPr>
        <w:t>以生态人文发展为</w:t>
      </w:r>
      <w:r>
        <w:rPr>
          <w:rFonts w:hint="eastAsia"/>
          <w:b/>
          <w:bCs/>
        </w:rPr>
        <w:t>动力</w:t>
      </w:r>
      <w:r>
        <w:rPr>
          <w:rFonts w:hint="eastAsia"/>
        </w:rPr>
        <w:t>，谋划绿色生活高标准营造工程、社会共建共治体系建设两大工程，加强绿色基础设施供给，促进绿色消费全面升级，强化生态文明宣传教育力度，创新白鹭积分共建模式，打造社区多元共治典范。积极调动社会各界主动参与积极性，激发主人翁意识，提升生态文明建设软实力。</w:t>
      </w:r>
    </w:p>
    <w:p>
      <w:pPr>
        <w:ind w:firstLine="600" w:firstLineChars="200"/>
      </w:pPr>
      <w:r>
        <w:rPr>
          <w:rFonts w:hint="eastAsia"/>
        </w:rPr>
        <w:t>以三线融合发展为</w:t>
      </w:r>
      <w:r>
        <w:rPr>
          <w:rFonts w:hint="eastAsia"/>
          <w:b/>
          <w:bCs/>
        </w:rPr>
        <w:t>方向</w:t>
      </w:r>
      <w:r>
        <w:rPr>
          <w:rFonts w:hint="eastAsia"/>
        </w:rPr>
        <w:t>，谋划城市与生态深化融合工程，提升花园城市发展格局，实施生态系统保护修复，加强生物资源监督保护，建立生态环境智慧平台。综合呈现生态经济、环境、人文建设成效，强化协同，提升城市整体治理能力。</w:t>
      </w:r>
    </w:p>
    <w:p>
      <w:pPr>
        <w:ind w:firstLine="567" w:firstLineChars="189"/>
      </w:pPr>
      <w:r>
        <w:rPr>
          <w:rFonts w:hint="eastAsia"/>
        </w:rPr>
        <w:t>以闽西南绿色协同发展专项行动、国际合作多元化建设专项行动</w:t>
      </w:r>
      <w:r>
        <w:rPr>
          <w:rFonts w:hint="eastAsia"/>
          <w:b/>
        </w:rPr>
        <w:t>为支撑</w:t>
      </w:r>
      <w:r>
        <w:rPr>
          <w:rFonts w:hint="eastAsia"/>
        </w:rPr>
        <w:t>，充分发挥厦门市区位与多区叠加优势，共建生态闽西南，共谋绿色“一带一路”。</w:t>
      </w:r>
    </w:p>
    <w:p>
      <w:pPr>
        <w:ind w:firstLine="600" w:firstLineChars="200"/>
      </w:pPr>
      <w:r>
        <w:rPr>
          <w:rFonts w:hint="eastAsia"/>
        </w:rPr>
        <w:t>以持续深化生态文明体制改革行动</w:t>
      </w:r>
      <w:r>
        <w:rPr>
          <w:rFonts w:hint="eastAsia"/>
          <w:b/>
        </w:rPr>
        <w:t>为基础</w:t>
      </w:r>
      <w:r>
        <w:rPr>
          <w:rFonts w:hint="eastAsia"/>
        </w:rPr>
        <w:t>，为解决深层次矛盾和问题提供制度保障。进一步理顺体制、完善机制、健全法治，提升厦门市生态文明建设的规范化、法治化水平，夯实生态文明建设体制机制基础。</w:t>
      </w:r>
    </w:p>
    <w:p>
      <w:pPr>
        <w:ind w:firstLine="600" w:firstLineChars="200"/>
      </w:pPr>
      <w:r>
        <w:rPr>
          <w:rFonts w:hint="eastAsia"/>
        </w:rPr>
        <w:t>重点任务全面承接厦门市“十四五”生态文明建设规划指标体系，并细化分解为具体工作任务或建设项目，确保“十四五”末各项指标如期达成，各项改革按期实现，生态文明制度体系更加完善，经济效益（</w:t>
      </w:r>
      <w:r>
        <w:t>GDP</w:t>
      </w:r>
      <w:r>
        <w:rPr>
          <w:rFonts w:hint="eastAsia"/>
        </w:rPr>
        <w:t>）与生态效益</w:t>
      </w:r>
      <w:r>
        <w:t>(GEP)</w:t>
      </w:r>
      <w:r>
        <w:rPr>
          <w:rFonts w:hint="eastAsia"/>
        </w:rPr>
        <w:t>取得双增长。</w:t>
      </w:r>
    </w:p>
    <w:p>
      <w:pPr>
        <w:pStyle w:val="2"/>
        <w:spacing w:line="360" w:lineRule="auto"/>
        <w:rPr>
          <w:rFonts w:cs="Arial"/>
          <w:szCs w:val="21"/>
        </w:rPr>
      </w:pPr>
      <w:bookmarkStart w:id="12" w:name="_Toc83204014"/>
      <w:r>
        <w:rPr>
          <w:rFonts w:hint="eastAsia" w:cs="Arial"/>
          <w:szCs w:val="21"/>
        </w:rPr>
        <w:t>第三章  重点任务</w:t>
      </w:r>
      <w:bookmarkEnd w:id="12"/>
    </w:p>
    <w:p>
      <w:pPr>
        <w:ind w:firstLine="600" w:firstLineChars="200"/>
      </w:pPr>
      <w:r>
        <w:rPr>
          <w:rFonts w:hint="eastAsia"/>
        </w:rPr>
        <w:t>围绕建成全国生态文明典范城市目标，落实以经济、环境、人文发展为主要路径，以体制改革为重要基础的建设思路，努力探索碳达峰、碳中和路径，大力实施二氧化碳排放达峰、绿色经济高质量提升两大工程，提升生态经济发展水平。推动人居环境高品质提升工程建设，优化生态环境质量。推进绿色生活高标准营造、社会共建共治体系两大工程，强化生态人文建设。聚焦城市与生态深化融合工程，促进经济、环境、人文三条路径有机融合，持续优化厦门生态文明建设，打造城市品牌。积极实施闽西南绿色协同发展与国际合作多元化建设两个专项行动，持续推进深化生态文明体制改革行动。</w:t>
      </w:r>
    </w:p>
    <w:p>
      <w:pPr>
        <w:pStyle w:val="3"/>
      </w:pPr>
      <w:bookmarkStart w:id="13" w:name="_Toc83204015"/>
      <w:r>
        <w:rPr>
          <w:rFonts w:hint="eastAsia"/>
        </w:rPr>
        <w:t>第一节  二氧化碳排放达峰工程</w:t>
      </w:r>
      <w:bookmarkEnd w:id="13"/>
    </w:p>
    <w:p>
      <w:pPr>
        <w:ind w:firstLine="600" w:firstLineChars="200"/>
      </w:pPr>
      <w:r>
        <w:rPr>
          <w:rFonts w:hint="eastAsia"/>
        </w:rPr>
        <w:t>以能源绿色低碳发展为重点，加快推动能源生产低碳化，大力推进能源消费绿色化，深化能源及相关领域改革创新，为绿色低碳循环经济体系建设奠定坚实基础。</w:t>
      </w:r>
    </w:p>
    <w:p>
      <w:pPr>
        <w:ind w:firstLine="602" w:firstLineChars="200"/>
        <w:rPr>
          <w:rFonts w:ascii="仿宋" w:hAnsi="仿宋" w:cs="仿宋"/>
          <w:szCs w:val="30"/>
        </w:rPr>
      </w:pPr>
      <w:r>
        <w:rPr>
          <w:rFonts w:hint="eastAsia" w:ascii="仿宋" w:hAnsi="仿宋" w:cs="仿宋"/>
          <w:b/>
          <w:bCs/>
          <w:szCs w:val="30"/>
        </w:rPr>
        <w:t>加快能源结构优化。</w:t>
      </w:r>
      <w:r>
        <w:rPr>
          <w:rFonts w:hint="eastAsia" w:ascii="仿宋" w:hAnsi="仿宋" w:cs="仿宋"/>
          <w:szCs w:val="30"/>
        </w:rPr>
        <w:t>全面深化各领域电能替代工作，稳步提高全市电气化水平，构建以清洁电力为基础的产业体系和生产生活方式。积极推动新能源发展，提高新能源利用比例。大力发展厂房、商业、公共建筑等屋顶光伏发电，统筹推进各类生物质能的市场化和规模化利用，同时鼓励发展氢能。</w:t>
      </w:r>
      <w:r>
        <w:rPr>
          <w:rFonts w:ascii="仿宋" w:hAnsi="仿宋" w:cs="仿宋"/>
          <w:szCs w:val="30"/>
        </w:rPr>
        <w:t>严格控制</w:t>
      </w:r>
      <w:r>
        <w:rPr>
          <w:rFonts w:hint="eastAsia" w:ascii="仿宋" w:hAnsi="仿宋" w:cs="仿宋"/>
          <w:szCs w:val="30"/>
        </w:rPr>
        <w:t>煤炭</w:t>
      </w:r>
      <w:r>
        <w:rPr>
          <w:rFonts w:ascii="仿宋" w:hAnsi="仿宋" w:cs="仿宋"/>
          <w:szCs w:val="30"/>
        </w:rPr>
        <w:t>消费总量，</w:t>
      </w:r>
      <w:r>
        <w:rPr>
          <w:rFonts w:hint="eastAsia" w:ascii="仿宋" w:hAnsi="仿宋" w:cs="仿宋"/>
          <w:szCs w:val="30"/>
        </w:rPr>
        <w:t>逐步</w:t>
      </w:r>
      <w:r>
        <w:rPr>
          <w:rFonts w:ascii="仿宋" w:hAnsi="仿宋" w:cs="仿宋"/>
          <w:szCs w:val="30"/>
        </w:rPr>
        <w:t>淘汰热电联产供热管网覆盖范围内的燃煤加热、烘干炉（窑）</w:t>
      </w:r>
      <w:r>
        <w:rPr>
          <w:rFonts w:hint="eastAsia" w:ascii="仿宋" w:hAnsi="仿宋" w:cs="仿宋"/>
          <w:szCs w:val="30"/>
        </w:rPr>
        <w:t>，持续降低煤炭消费占比</w:t>
      </w:r>
      <w:r>
        <w:rPr>
          <w:rFonts w:ascii="仿宋" w:hAnsi="仿宋" w:cs="仿宋"/>
          <w:szCs w:val="30"/>
        </w:rPr>
        <w:t>。</w:t>
      </w:r>
      <w:r>
        <w:rPr>
          <w:rFonts w:hint="eastAsia" w:ascii="仿宋" w:hAnsi="仿宋" w:cs="仿宋"/>
          <w:szCs w:val="30"/>
        </w:rPr>
        <w:t>适度控制油品消费增速，降低交通及工业对油品的依赖，提升油品利用效率。鼓励生物柴油、生物航空煤油等替代传统燃油</w:t>
      </w:r>
      <w:r>
        <w:rPr>
          <w:rFonts w:ascii="仿宋" w:hAnsi="仿宋" w:cs="仿宋"/>
          <w:szCs w:val="30"/>
        </w:rPr>
        <w:t>。</w:t>
      </w:r>
      <w:r>
        <w:rPr>
          <w:rFonts w:hint="eastAsia" w:ascii="仿宋" w:hAnsi="仿宋" w:cs="仿宋"/>
          <w:szCs w:val="30"/>
        </w:rPr>
        <w:t>适度提升天然气消费，</w:t>
      </w:r>
      <w:r>
        <w:rPr>
          <w:rFonts w:ascii="仿宋" w:hAnsi="仿宋" w:cs="仿宋"/>
          <w:szCs w:val="30"/>
        </w:rPr>
        <w:t>鼓励实施发电工程</w:t>
      </w:r>
      <w:r>
        <w:rPr>
          <w:rFonts w:hint="eastAsia" w:ascii="仿宋" w:hAnsi="仿宋" w:cs="仿宋"/>
          <w:szCs w:val="30"/>
        </w:rPr>
        <w:t>“煤改气”</w:t>
      </w:r>
      <w:r>
        <w:rPr>
          <w:rFonts w:ascii="仿宋" w:hAnsi="仿宋" w:cs="仿宋"/>
          <w:szCs w:val="30"/>
        </w:rPr>
        <w:t>，</w:t>
      </w:r>
      <w:r>
        <w:rPr>
          <w:rFonts w:hint="eastAsia" w:ascii="仿宋" w:hAnsi="仿宋" w:cs="仿宋"/>
          <w:szCs w:val="30"/>
        </w:rPr>
        <w:t>积极</w:t>
      </w:r>
      <w:r>
        <w:rPr>
          <w:rFonts w:ascii="仿宋" w:hAnsi="仿宋" w:cs="仿宋"/>
          <w:szCs w:val="30"/>
        </w:rPr>
        <w:t>发展天然气分布式能源，有序发展天然气冷热电三联</w:t>
      </w:r>
      <w:r>
        <w:rPr>
          <w:rFonts w:hint="eastAsia" w:ascii="仿宋" w:hAnsi="仿宋" w:cs="仿宋"/>
          <w:szCs w:val="30"/>
        </w:rPr>
        <w:t>供</w:t>
      </w:r>
      <w:r>
        <w:rPr>
          <w:rFonts w:ascii="仿宋" w:hAnsi="仿宋" w:cs="仿宋"/>
          <w:szCs w:val="30"/>
        </w:rPr>
        <w:t>。</w:t>
      </w:r>
      <w:r>
        <w:rPr>
          <w:rFonts w:hint="eastAsia" w:ascii="仿宋" w:hAnsi="仿宋" w:cs="仿宋"/>
          <w:szCs w:val="30"/>
        </w:rPr>
        <w:t>加快推进高弹性智能电网建设，统筹电源侧、电网侧、负荷侧各类可调节资源，推进“源网荷储”协同发展，提升电力系统综合调节能力，增强供电基础设施保障水平。到2025年，实现非化石能源占一次能源消费比重持续提高，能源生产脱碳化取得突出成效，绿色低碳转型发展基础全面夯实。</w:t>
      </w:r>
    </w:p>
    <w:p>
      <w:pPr>
        <w:pStyle w:val="12"/>
        <w:pBdr>
          <w:bottom w:val="none" w:color="auto" w:sz="0" w:space="0"/>
        </w:pBdr>
        <w:spacing w:beforeLines="50"/>
        <w:rPr>
          <w:rFonts w:ascii="仿宋" w:hAnsi="仿宋"/>
          <w:b/>
          <w:bCs/>
          <w:sz w:val="24"/>
          <w:szCs w:val="24"/>
        </w:rPr>
      </w:pPr>
      <w:r>
        <w:rPr>
          <w:rFonts w:hint="eastAsia" w:ascii="仿宋" w:hAnsi="仿宋"/>
          <w:b/>
          <w:bCs/>
          <w:sz w:val="24"/>
          <w:szCs w:val="24"/>
        </w:rPr>
        <w:t>专栏</w:t>
      </w:r>
      <w:r>
        <w:rPr>
          <w:rFonts w:ascii="仿宋" w:hAnsi="仿宋"/>
          <w:b/>
          <w:bCs/>
          <w:sz w:val="24"/>
          <w:szCs w:val="24"/>
        </w:rPr>
        <w:t>1</w:t>
      </w:r>
      <w:r>
        <w:rPr>
          <w:rFonts w:hint="eastAsia" w:ascii="仿宋" w:hAnsi="仿宋"/>
          <w:b/>
          <w:bCs/>
          <w:sz w:val="24"/>
          <w:szCs w:val="24"/>
        </w:rPr>
        <w:t>：清洁低碳能源体系提升工程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tcPr>
          <w:p>
            <w:pPr>
              <w:ind w:firstLine="602" w:firstLineChars="200"/>
              <w:rPr>
                <w:rFonts w:ascii="仿宋" w:hAnsi="仿宋"/>
                <w:u w:val="single"/>
              </w:rPr>
            </w:pPr>
            <w:r>
              <w:rPr>
                <w:rFonts w:hint="eastAsia"/>
                <w:b/>
                <w:bCs/>
              </w:rPr>
              <w:t>天然气气源保障工程。</w:t>
            </w:r>
            <w:r>
              <w:rPr>
                <w:rFonts w:hint="eastAsia" w:ascii="仿宋" w:hAnsi="仿宋"/>
              </w:rPr>
              <w:t>推进管道燃气配套设施建设与改造，新建城区及主干道（油电气等）综合能源供应站。</w:t>
            </w:r>
          </w:p>
          <w:p>
            <w:pPr>
              <w:ind w:firstLine="602" w:firstLineChars="200"/>
              <w:rPr>
                <w:rFonts w:ascii="仿宋" w:hAnsi="仿宋"/>
              </w:rPr>
            </w:pPr>
            <w:r>
              <w:rPr>
                <w:rFonts w:hint="eastAsia" w:ascii="仿宋" w:hAnsi="仿宋"/>
                <w:b/>
                <w:bCs/>
              </w:rPr>
              <w:t>可再生能源建设工程。</w:t>
            </w:r>
            <w:r>
              <w:rPr>
                <w:rFonts w:hint="eastAsia" w:ascii="仿宋" w:hAnsi="仿宋"/>
              </w:rPr>
              <w:t>厦门东部垃圾焚烧发电厂三期、生物质资源再生项目一期</w:t>
            </w:r>
            <w:r>
              <w:rPr>
                <w:rFonts w:ascii="仿宋" w:hAnsi="仿宋"/>
              </w:rPr>
              <w:t>工程</w:t>
            </w:r>
            <w:r>
              <w:rPr>
                <w:rFonts w:hint="eastAsia" w:ascii="仿宋" w:hAnsi="仿宋"/>
              </w:rPr>
              <w:t>建成并投产，因地制宜加快发展分布式光伏电站，积极发展光照资源较好区域的建筑一体化技术，大力发展可再生能源。</w:t>
            </w:r>
          </w:p>
          <w:p>
            <w:pPr>
              <w:ind w:firstLine="602" w:firstLineChars="200"/>
              <w:rPr>
                <w:rFonts w:ascii="仿宋" w:hAnsi="仿宋"/>
              </w:rPr>
            </w:pPr>
            <w:r>
              <w:rPr>
                <w:rFonts w:hint="eastAsia" w:ascii="仿宋" w:hAnsi="仿宋"/>
                <w:b/>
                <w:bCs/>
              </w:rPr>
              <w:t>储能设施建设工程。</w:t>
            </w:r>
            <w:r>
              <w:rPr>
                <w:rFonts w:hint="eastAsia" w:ascii="仿宋" w:hAnsi="仿宋"/>
              </w:rPr>
              <w:t>厦门抽水蓄能电站建成并投产。鼓励电化学储能、氢储能等各类储能设施的开发应用。</w:t>
            </w:r>
          </w:p>
          <w:p>
            <w:pPr>
              <w:ind w:firstLine="602"/>
            </w:pPr>
            <w:r>
              <w:rPr>
                <w:rFonts w:hint="eastAsia"/>
                <w:b/>
                <w:bCs/>
              </w:rPr>
              <w:t>现代化城市电网建设工程。</w:t>
            </w:r>
            <w:r>
              <w:rPr>
                <w:rFonts w:hint="eastAsia"/>
              </w:rPr>
              <w:t>完善</w:t>
            </w:r>
            <w:r>
              <w:t>500kV主网架结构，优化局部片区220kV</w:t>
            </w:r>
            <w:r>
              <w:rPr>
                <w:rFonts w:hint="eastAsia"/>
              </w:rPr>
              <w:t>、1</w:t>
            </w:r>
            <w:r>
              <w:t>10kV</w:t>
            </w:r>
            <w:r>
              <w:rPr>
                <w:rFonts w:hint="eastAsia"/>
              </w:rPr>
              <w:t>及以下</w:t>
            </w:r>
            <w:r>
              <w:t>电网结构，加快完善配电</w:t>
            </w:r>
            <w:r>
              <w:rPr>
                <w:rFonts w:hint="eastAsia"/>
              </w:rPr>
              <w:t>网络。</w:t>
            </w:r>
            <w:r>
              <w:t>积极接纳各类分布式电源，适应可再生能源并网和新能源汽车等发展需要</w:t>
            </w:r>
            <w:r>
              <w:rPr>
                <w:rFonts w:hint="eastAsia"/>
              </w:rPr>
              <w:t>。</w:t>
            </w:r>
          </w:p>
        </w:tc>
      </w:tr>
    </w:tbl>
    <w:p>
      <w:pPr>
        <w:ind w:firstLine="602" w:firstLineChars="200"/>
        <w:rPr>
          <w:rFonts w:ascii="仿宋" w:hAnsi="仿宋" w:cs="仿宋"/>
        </w:rPr>
      </w:pPr>
      <w:r>
        <w:rPr>
          <w:rFonts w:hint="eastAsia"/>
          <w:b/>
          <w:bCs/>
        </w:rPr>
        <w:t>力促各领域转型。</w:t>
      </w:r>
      <w:r>
        <w:rPr>
          <w:rFonts w:hint="eastAsia" w:ascii="仿宋" w:hAnsi="仿宋" w:cs="仿宋"/>
        </w:rPr>
        <w:t>加快构建低碳工业体系，实施节能降碳增效行动，坚决遏制“两高”项目盲目发展，推动高碳产业绿色低碳转型，加快培育新兴行业形成新动能。全面推广绿色建筑，大力发展新能源在建筑领域的应用。探索超低能耗及近零碳建筑建设，加快提升建筑能效水平。构建绿色高效交通运输体系，推动运输工具装备低碳转型。加快绿色交通基础设施建设，建立全国领先的智慧交通管理体系。完善生活垃圾、建筑垃圾、工业垃圾等回收体系，建立“全领域”垃圾回收处理产业链，建设“无废厦门”。坚持以市场为导向，加速低碳技术研发推广，更大力度推进节能低碳技术研发推广应用。加快推进规模化储能、碳捕集利用与封存、氢能利用等技术发展，推动数字化信息化技术在节能、清洁能源领域的创新融合。巩固提升林业、湿地和农田生态系统碳汇，大力发掘海洋生态系统碳汇潜力。全面推行绿色低碳生活，营造绿色低碳生活新时尚。到2025年，实现单位地区生产总值能源消耗持续降低，单位地区生产总值二氧化碳排放下降率达到省下达考核要求。</w:t>
      </w:r>
    </w:p>
    <w:p>
      <w:pPr>
        <w:spacing w:beforeLines="50"/>
        <w:ind w:firstLine="481" w:firstLineChars="200"/>
        <w:jc w:val="center"/>
        <w:rPr>
          <w:rFonts w:ascii="仿宋" w:hAnsi="仿宋"/>
          <w:b/>
          <w:bCs/>
          <w:sz w:val="24"/>
          <w:szCs w:val="24"/>
        </w:rPr>
      </w:pPr>
      <w:r>
        <w:rPr>
          <w:rFonts w:hint="eastAsia" w:ascii="仿宋" w:hAnsi="仿宋"/>
          <w:b/>
          <w:bCs/>
          <w:sz w:val="24"/>
          <w:szCs w:val="24"/>
        </w:rPr>
        <w:t>专栏</w:t>
      </w:r>
      <w:r>
        <w:rPr>
          <w:rFonts w:ascii="仿宋" w:hAnsi="仿宋"/>
          <w:b/>
          <w:bCs/>
          <w:sz w:val="24"/>
          <w:szCs w:val="24"/>
        </w:rPr>
        <w:t>2</w:t>
      </w:r>
      <w:r>
        <w:rPr>
          <w:rFonts w:hint="eastAsia" w:ascii="仿宋" w:hAnsi="仿宋"/>
          <w:b/>
          <w:bCs/>
          <w:sz w:val="24"/>
          <w:szCs w:val="24"/>
        </w:rPr>
        <w:t>：重点区域综合能源试点示范工程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tcPr>
          <w:p>
            <w:pPr>
              <w:ind w:firstLine="602" w:firstLineChars="200"/>
            </w:pPr>
            <w:r>
              <w:rPr>
                <w:rFonts w:hint="eastAsia"/>
                <w:b/>
                <w:bCs/>
              </w:rPr>
              <w:t>分布式综合能源示范工程。</w:t>
            </w:r>
            <w:r>
              <w:rPr>
                <w:rFonts w:hint="eastAsia"/>
              </w:rPr>
              <w:t>推进厦门翔安新机场综合能源服务项目，打造国内交通枢纽类单独供冷综合能源标杆项目。</w:t>
            </w:r>
          </w:p>
          <w:p>
            <w:pPr>
              <w:ind w:firstLine="602" w:firstLineChars="200"/>
            </w:pPr>
            <w:r>
              <w:rPr>
                <w:rFonts w:hint="eastAsia"/>
                <w:b/>
                <w:bCs/>
              </w:rPr>
              <w:t>能源互联网示范工程。</w:t>
            </w:r>
            <w:r>
              <w:rPr>
                <w:rFonts w:hint="eastAsia"/>
              </w:rPr>
              <w:t>建设火炬高新区能源互联网示范区，统筹电动汽车充电、分布式新能源、清洁供能、企业节能等源网荷储协同服务项目，实现园区新基建与国家电网源网荷储工作充分融合。</w:t>
            </w:r>
          </w:p>
        </w:tc>
      </w:tr>
    </w:tbl>
    <w:p>
      <w:pPr>
        <w:pStyle w:val="17"/>
        <w:spacing w:before="132" w:beforeAutospacing="0" w:after="378" w:afterAutospacing="0"/>
        <w:ind w:firstLine="602" w:firstLineChars="200"/>
        <w:rPr>
          <w:rFonts w:ascii="仿宋" w:hAnsi="仿宋" w:eastAsia="仿宋" w:cs="仿宋"/>
          <w:color w:val="000000"/>
          <w:kern w:val="2"/>
          <w:sz w:val="30"/>
          <w:szCs w:val="22"/>
        </w:rPr>
      </w:pPr>
      <w:r>
        <w:rPr>
          <w:rFonts w:hint="eastAsia" w:eastAsia="仿宋" w:cs="Times New Roman"/>
          <w:b/>
          <w:bCs/>
          <w:kern w:val="2"/>
          <w:sz w:val="30"/>
          <w:szCs w:val="22"/>
        </w:rPr>
        <w:t>加强组织与制度保障。</w:t>
      </w:r>
      <w:r>
        <w:rPr>
          <w:rFonts w:hint="eastAsia" w:ascii="仿宋" w:hAnsi="仿宋" w:eastAsia="仿宋" w:cs="仿宋"/>
          <w:kern w:val="2"/>
          <w:sz w:val="30"/>
          <w:szCs w:val="22"/>
        </w:rPr>
        <w:t>成立碳达峰碳中和工作领导小组，落实分工责任，建立“政府统一领导，部门分工负责，任务目标明确”的长效管理机制。建立科学合理的评估机制和工作问责机制，定期跟进、评估、分析主要部门碳排放目标的完成情况和政策措施的落实情况。加快完善有利于绿色低碳发展的价格、财税、金融等经济政策，推动合同能源管理、污染第三方治理、环境托管等服务模式创新发展。建立低碳发展人才培育和引进机制，积极培养和引进低碳发展的专业人才队伍。推动建设厦门海洋碳汇交易平台，加快海洋碳汇交易标准制定，实现与国际标准互通互认。</w:t>
      </w:r>
    </w:p>
    <w:p/>
    <w:p>
      <w:pPr>
        <w:pStyle w:val="3"/>
      </w:pPr>
      <w:bookmarkStart w:id="14" w:name="_Toc83204016"/>
      <w:r>
        <w:rPr>
          <w:rFonts w:hint="eastAsia"/>
        </w:rPr>
        <w:t>第二节  绿色经济高质量提升工程</w:t>
      </w:r>
      <w:bookmarkEnd w:id="14"/>
    </w:p>
    <w:p>
      <w:pPr>
        <w:ind w:firstLine="600"/>
      </w:pPr>
      <w:r>
        <w:rPr>
          <w:rFonts w:hint="eastAsia"/>
        </w:rPr>
        <w:t>加快产业结构优化升级，发展壮大绿色产业，基本实现经济发展与能源消耗、二氧化碳与污染排放增长解耦。积极探索生态产品价值实现有效路径，推动生态产品价值加速转化，全力推进产业生态化、生态产业化。</w:t>
      </w:r>
    </w:p>
    <w:p>
      <w:pPr>
        <w:ind w:firstLine="602" w:firstLineChars="200"/>
      </w:pPr>
      <w:r>
        <w:rPr>
          <w:rFonts w:hint="eastAsia" w:ascii="仿宋" w:hAnsi="仿宋"/>
          <w:b/>
          <w:bCs/>
        </w:rPr>
        <w:t>加快产业结构优化升级。</w:t>
      </w:r>
      <w:r>
        <w:rPr>
          <w:rFonts w:hint="eastAsia" w:ascii="仿宋" w:hAnsi="仿宋"/>
        </w:rPr>
        <w:t>明确新城片区、产业园区功能定位和主导产业，打造“一高三带”（名词解释6）产业空间格局</w:t>
      </w:r>
      <w:r>
        <w:rPr>
          <w:rFonts w:hint="eastAsia"/>
        </w:rPr>
        <w:t>，引导产业集群整合升级。</w:t>
      </w:r>
      <w:r>
        <w:rPr>
          <w:rFonts w:hint="eastAsia" w:ascii="仿宋" w:hAnsi="仿宋"/>
        </w:rPr>
        <w:t>做大做强高端制造业，提升发展现代服务业，积极培育战略性新兴产业，做优现代都市农业，加快传统产业绿色化改造提升，优化产业梯次发展格局。</w:t>
      </w:r>
      <w:r>
        <w:rPr>
          <w:rFonts w:hint="eastAsia"/>
        </w:rPr>
        <w:t>实施千亿链群培育行动，发展壮大电子、机械两大支柱行业，促进现代物流、文旅会展、金融服务等优势产业集群提质</w:t>
      </w:r>
      <w:r>
        <w:t>扩容，</w:t>
      </w:r>
      <w:r>
        <w:rPr>
          <w:rFonts w:hint="eastAsia"/>
        </w:rPr>
        <w:t>构筑新一代信息技术、生物医药与健康、新材料与新能源、</w:t>
      </w:r>
      <w:r>
        <w:t>数字创意和海洋</w:t>
      </w:r>
      <w:r>
        <w:rPr>
          <w:rFonts w:hint="eastAsia"/>
        </w:rPr>
        <w:t>高新等战略性</w:t>
      </w:r>
      <w:r>
        <w:t>新兴产业</w:t>
      </w:r>
      <w:r>
        <w:rPr>
          <w:rFonts w:hint="eastAsia"/>
        </w:rPr>
        <w:t>集群，</w:t>
      </w:r>
      <w:r>
        <w:rPr>
          <w:rFonts w:hint="eastAsia" w:ascii="仿宋" w:hAnsi="仿宋"/>
        </w:rPr>
        <w:t>促进产业链集群高端化、智能化、绿色化。到</w:t>
      </w:r>
      <w:r>
        <w:rPr>
          <w:rFonts w:hint="eastAsia" w:eastAsia="宋体"/>
        </w:rPr>
        <w:t>2</w:t>
      </w:r>
      <w:r>
        <w:rPr>
          <w:rFonts w:hint="eastAsia"/>
        </w:rPr>
        <w:t>025</w:t>
      </w:r>
      <w:r>
        <w:rPr>
          <w:rFonts w:hint="eastAsia" w:ascii="仿宋" w:hAnsi="仿宋"/>
        </w:rPr>
        <w:t>年，规模以上高技术工业增加值占规上工业增加值比重达</w:t>
      </w:r>
      <w:r>
        <w:rPr>
          <w:rFonts w:ascii="仿宋" w:hAnsi="仿宋"/>
        </w:rPr>
        <w:t>45%</w:t>
      </w:r>
      <w:r>
        <w:rPr>
          <w:rFonts w:hint="eastAsia" w:ascii="仿宋" w:hAnsi="仿宋"/>
        </w:rPr>
        <w:t>（或以上）。</w:t>
      </w:r>
    </w:p>
    <w:p>
      <w:pPr>
        <w:ind w:firstLine="602" w:firstLineChars="200"/>
      </w:pPr>
      <w:r>
        <w:rPr>
          <w:rFonts w:hint="eastAsia"/>
          <w:b/>
          <w:bCs/>
        </w:rPr>
        <w:t>提高绿色生产效率效能。</w:t>
      </w:r>
      <w:r>
        <w:rPr>
          <w:rFonts w:hint="eastAsia"/>
        </w:rPr>
        <w:t>坚决遏制“两高”项目盲目发展。全面实行排污许可制度，实施超国标、省标要求的地方污染物排放标准。强化重点行业强制性清洁生产审核，鼓励企业制定实施严于国家、行业标准的企业清洁生产标准，持续推进清洁生产、建设绿色工厂。推进中水回用、农业水价综合改革与配套设施建设，强化水资源节约利用。积极创建国家级、省级绿色园区，实施园区循环化改造，推动企业间再生资源回收利用，提高园区整体能源资源产出效率。到</w:t>
      </w:r>
      <w:r>
        <w:t>2</w:t>
      </w:r>
      <w:r>
        <w:rPr>
          <w:rFonts w:hint="eastAsia"/>
        </w:rPr>
        <w:t>025年，实现主要水、大气污染物排放强度保持在较低水平。</w:t>
      </w:r>
    </w:p>
    <w:p>
      <w:pPr>
        <w:ind w:firstLine="602" w:firstLineChars="200"/>
      </w:pPr>
      <w:r>
        <w:rPr>
          <w:rFonts w:hint="eastAsia" w:ascii="黑体" w:hAnsi="黑体"/>
          <w:b/>
          <w:bCs/>
        </w:rPr>
        <w:t>推进绿色产业快速发展。</w:t>
      </w:r>
      <w:r>
        <w:rPr>
          <w:rFonts w:hint="eastAsia" w:ascii="黑体" w:hAnsi="黑体"/>
        </w:rPr>
        <w:t>依据《绿色产业指导目录（</w:t>
      </w:r>
      <w:r>
        <w:rPr>
          <w:rFonts w:ascii="黑体" w:hAnsi="黑体"/>
        </w:rPr>
        <w:t>2019年版）</w:t>
      </w:r>
      <w:r>
        <w:rPr>
          <w:rFonts w:hint="eastAsia" w:ascii="黑体" w:hAnsi="黑体"/>
        </w:rPr>
        <w:t>》，</w:t>
      </w:r>
      <w:r>
        <w:rPr>
          <w:rFonts w:hint="eastAsia"/>
        </w:rPr>
        <w:t>重点发展先进环保装备制造、清洁能源、绿色服务等产业</w:t>
      </w:r>
      <w:r>
        <w:rPr>
          <w:rFonts w:hint="eastAsia"/>
          <w:szCs w:val="30"/>
        </w:rPr>
        <w:t>。</w:t>
      </w:r>
      <w:r>
        <w:rPr>
          <w:rFonts w:hint="eastAsia" w:ascii="仿宋" w:hAnsi="仿宋"/>
        </w:rPr>
        <w:t>以促进绿色技术成果转化、深度服务城市绿色发展为导向，大力推进“产学研”融合，构建市场导向的绿色技术创新体系。</w:t>
      </w:r>
      <w:r>
        <w:rPr>
          <w:rFonts w:hint="eastAsia"/>
        </w:rPr>
        <w:t>深化绿色金融产品和服务创新，加快拓宽多元融资渠道。积极创建绿色产业示范基地，扩大创新要素投入，推动产业集聚、协同发展。</w:t>
      </w:r>
      <w:r>
        <w:rPr>
          <w:rFonts w:hint="eastAsia" w:ascii="仿宋" w:hAnsi="仿宋"/>
        </w:rPr>
        <w:t>到2</w:t>
      </w:r>
      <w:r>
        <w:rPr>
          <w:rFonts w:ascii="仿宋" w:hAnsi="仿宋"/>
        </w:rPr>
        <w:t>025</w:t>
      </w:r>
      <w:r>
        <w:rPr>
          <w:rFonts w:hint="eastAsia" w:ascii="仿宋" w:hAnsi="仿宋"/>
        </w:rPr>
        <w:t>年，</w:t>
      </w:r>
      <w:r>
        <w:rPr>
          <w:rFonts w:hint="eastAsia"/>
        </w:rPr>
        <w:t>建立健全</w:t>
      </w:r>
      <w:r>
        <w:rPr>
          <w:rFonts w:hint="eastAsia" w:ascii="仿宋" w:hAnsi="仿宋"/>
        </w:rPr>
        <w:t>市场导向的</w:t>
      </w:r>
      <w:r>
        <w:rPr>
          <w:rFonts w:hint="eastAsia"/>
        </w:rPr>
        <w:t>绿色技术创新体系，力争培育一批领先全国的绿色技术创新企业，形成2-3家拥有自主品牌、掌握核心技术、引领作用强的区域绿色产业龙头企业。</w:t>
      </w:r>
    </w:p>
    <w:p>
      <w:pPr>
        <w:pStyle w:val="12"/>
        <w:pBdr>
          <w:bottom w:val="none" w:color="auto" w:sz="0" w:space="0"/>
        </w:pBdr>
        <w:spacing w:beforeLines="50"/>
        <w:rPr>
          <w:rFonts w:ascii="仿宋" w:hAnsi="仿宋"/>
          <w:b/>
          <w:bCs/>
          <w:sz w:val="24"/>
          <w:szCs w:val="24"/>
        </w:rPr>
      </w:pPr>
      <w:r>
        <w:rPr>
          <w:rFonts w:hint="eastAsia" w:ascii="仿宋" w:hAnsi="仿宋"/>
          <w:b/>
          <w:bCs/>
          <w:sz w:val="24"/>
          <w:szCs w:val="24"/>
        </w:rPr>
        <w:t>专栏3：绿色产业发展重点</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tcPr>
          <w:p>
            <w:pPr>
              <w:ind w:firstLine="602" w:firstLineChars="200"/>
              <w:rPr>
                <w:rFonts w:ascii="仿宋" w:hAnsi="仿宋"/>
              </w:rPr>
            </w:pPr>
            <w:r>
              <w:rPr>
                <w:rFonts w:hint="eastAsia" w:ascii="仿宋" w:hAnsi="仿宋"/>
                <w:b/>
                <w:bCs/>
              </w:rPr>
              <w:t>先进环保装备制造。</w:t>
            </w:r>
            <w:r>
              <w:rPr>
                <w:rFonts w:hint="eastAsia" w:ascii="仿宋" w:hAnsi="仿宋"/>
              </w:rPr>
              <w:t>依托新能源材料与装备良好基础，持续推动环境污染处理装备、资源循环利用装备、新能源材料与器件等装备制造。针对污水处理、中水回用、海水淡化等应用方向，培育发展抗污染膜、低压纳滤膜、超滤微滤膜、反渗透膜等高性能分离膜材料。开发可靠高效的新能源器件，完善电池与电动车产业链。</w:t>
            </w:r>
          </w:p>
          <w:p>
            <w:pPr>
              <w:ind w:firstLine="602" w:firstLineChars="200"/>
              <w:rPr>
                <w:rFonts w:ascii="仿宋" w:hAnsi="仿宋"/>
                <w:szCs w:val="30"/>
              </w:rPr>
            </w:pPr>
            <w:r>
              <w:rPr>
                <w:rFonts w:hint="eastAsia" w:ascii="仿宋" w:hAnsi="仿宋"/>
                <w:b/>
                <w:bCs/>
              </w:rPr>
              <w:t>清洁能源产业</w:t>
            </w:r>
            <w:r>
              <w:rPr>
                <w:rFonts w:hint="eastAsia" w:ascii="仿宋" w:hAnsi="仿宋"/>
              </w:rPr>
              <w:t>。</w:t>
            </w:r>
            <w:r>
              <w:rPr>
                <w:rFonts w:ascii="仿宋" w:hAnsi="仿宋"/>
                <w:szCs w:val="30"/>
              </w:rPr>
              <w:t>支持燃料电池</w:t>
            </w:r>
            <w:r>
              <w:rPr>
                <w:rFonts w:hint="eastAsia" w:ascii="仿宋" w:hAnsi="仿宋"/>
                <w:szCs w:val="30"/>
              </w:rPr>
              <w:t>专用车在</w:t>
            </w:r>
            <w:r>
              <w:rPr>
                <w:rFonts w:ascii="仿宋" w:hAnsi="仿宋"/>
                <w:szCs w:val="30"/>
              </w:rPr>
              <w:t>公共交通</w:t>
            </w:r>
            <w:r>
              <w:rPr>
                <w:rFonts w:hint="eastAsia" w:ascii="仿宋" w:hAnsi="仿宋"/>
                <w:szCs w:val="30"/>
              </w:rPr>
              <w:t>、网约车、</w:t>
            </w:r>
            <w:r>
              <w:rPr>
                <w:rFonts w:ascii="仿宋" w:hAnsi="仿宋"/>
                <w:szCs w:val="30"/>
              </w:rPr>
              <w:t>环卫</w:t>
            </w:r>
            <w:r>
              <w:rPr>
                <w:rFonts w:hint="eastAsia" w:ascii="仿宋" w:hAnsi="仿宋"/>
                <w:szCs w:val="30"/>
              </w:rPr>
              <w:t>、物流等领域规模化应用，</w:t>
            </w:r>
            <w:r>
              <w:rPr>
                <w:rFonts w:ascii="仿宋" w:hAnsi="仿宋"/>
                <w:szCs w:val="30"/>
              </w:rPr>
              <w:t>加快</w:t>
            </w:r>
            <w:r>
              <w:rPr>
                <w:rFonts w:hint="eastAsia" w:ascii="仿宋" w:hAnsi="仿宋"/>
                <w:szCs w:val="30"/>
              </w:rPr>
              <w:t>推进燃料电池交通装备示范及商业化。</w:t>
            </w:r>
            <w:r>
              <w:rPr>
                <w:rFonts w:ascii="仿宋" w:hAnsi="仿宋"/>
                <w:szCs w:val="30"/>
              </w:rPr>
              <w:t>探索发展</w:t>
            </w:r>
            <w:r>
              <w:rPr>
                <w:rFonts w:hint="eastAsia" w:ascii="仿宋" w:hAnsi="仿宋"/>
                <w:szCs w:val="30"/>
              </w:rPr>
              <w:t>高效、稳定、可靠的</w:t>
            </w:r>
            <w:r>
              <w:rPr>
                <w:rFonts w:ascii="仿宋" w:hAnsi="仿宋"/>
                <w:szCs w:val="30"/>
              </w:rPr>
              <w:t>海洋可再生能源相关技术装备</w:t>
            </w:r>
            <w:r>
              <w:rPr>
                <w:rFonts w:hint="eastAsia" w:ascii="仿宋" w:hAnsi="仿宋"/>
                <w:szCs w:val="30"/>
              </w:rPr>
              <w:t>，打造一批海洋能利用示范工程，提升</w:t>
            </w:r>
            <w:r>
              <w:rPr>
                <w:rFonts w:ascii="仿宋" w:hAnsi="仿宋"/>
                <w:szCs w:val="30"/>
              </w:rPr>
              <w:t>潮汐能</w:t>
            </w:r>
            <w:r>
              <w:rPr>
                <w:rFonts w:hint="eastAsia" w:ascii="仿宋" w:hAnsi="仿宋"/>
                <w:szCs w:val="30"/>
              </w:rPr>
              <w:t>、</w:t>
            </w:r>
            <w:r>
              <w:rPr>
                <w:rFonts w:ascii="仿宋" w:hAnsi="仿宋"/>
                <w:szCs w:val="30"/>
              </w:rPr>
              <w:t>波浪能等</w:t>
            </w:r>
            <w:r>
              <w:rPr>
                <w:rFonts w:hint="eastAsia" w:ascii="仿宋" w:hAnsi="仿宋"/>
                <w:szCs w:val="30"/>
              </w:rPr>
              <w:t>海洋可再生能源的工程化应用水平。</w:t>
            </w:r>
          </w:p>
          <w:p>
            <w:pPr>
              <w:ind w:firstLine="602" w:firstLineChars="200"/>
            </w:pPr>
            <w:r>
              <w:rPr>
                <w:rFonts w:hint="eastAsia" w:ascii="仿宋" w:hAnsi="仿宋"/>
                <w:b/>
              </w:rPr>
              <w:t>绿色服务业。</w:t>
            </w:r>
            <w:r>
              <w:rPr>
                <w:rFonts w:hint="eastAsia" w:ascii="仿宋" w:hAnsi="仿宋"/>
              </w:rPr>
              <w:t>培育一批运用物联网、大数据技术提供咨询服务、节能改造、监测检测、项目运营管理等一体化服务的创新型企业。建立以大型基础设施、公共建筑节能改造、工业污染治理等为重点领域的环境污染第三方治理机制示范试点，大力推广合同能源管理等市场化供给模式，强化绿色产业支撑力。</w:t>
            </w:r>
          </w:p>
        </w:tc>
      </w:tr>
    </w:tbl>
    <w:p>
      <w:pPr>
        <w:spacing w:line="600" w:lineRule="exact"/>
        <w:ind w:firstLine="602" w:firstLineChars="200"/>
      </w:pPr>
      <w:r>
        <w:rPr>
          <w:rFonts w:hint="eastAsia"/>
          <w:b/>
          <w:bCs/>
        </w:rPr>
        <w:t>推动生态产品价值转化。</w:t>
      </w:r>
      <w:r>
        <w:rPr>
          <w:rFonts w:hint="eastAsia"/>
          <w:bCs/>
        </w:rPr>
        <w:t>对照国家5</w:t>
      </w:r>
      <w:r>
        <w:rPr>
          <w:bCs/>
        </w:rPr>
        <w:t>A级景区建设标准，</w:t>
      </w:r>
      <w:r>
        <w:rPr>
          <w:rFonts w:hint="eastAsia"/>
          <w:bCs/>
        </w:rPr>
        <w:t>加快</w:t>
      </w:r>
      <w:r>
        <w:rPr>
          <w:bCs/>
        </w:rPr>
        <w:t>园林植物园、园林博览苑景区提质升级</w:t>
      </w:r>
      <w:r>
        <w:rPr>
          <w:rFonts w:hint="eastAsia"/>
        </w:rPr>
        <w:t>，</w:t>
      </w:r>
      <w:r>
        <w:rPr>
          <w:bCs/>
        </w:rPr>
        <w:t>积极推进东坪山生态休闲旅游开发建设</w:t>
      </w:r>
      <w:r>
        <w:rPr>
          <w:rFonts w:hint="eastAsia"/>
        </w:rPr>
        <w:t>，打造生态旅游精品。结合</w:t>
      </w:r>
      <w:r>
        <w:t>厦门</w:t>
      </w:r>
      <w:r>
        <w:rPr>
          <w:rFonts w:hint="eastAsia"/>
        </w:rPr>
        <w:t>产业特色</w:t>
      </w:r>
      <w:r>
        <w:t>，强化科技支撑，重点发展远洋渔业、水产品加工</w:t>
      </w:r>
      <w:r>
        <w:rPr>
          <w:rFonts w:hint="eastAsia"/>
        </w:rPr>
        <w:t>业</w:t>
      </w:r>
      <w:r>
        <w:t>和</w:t>
      </w:r>
      <w:r>
        <w:rPr>
          <w:rFonts w:hint="eastAsia"/>
        </w:rPr>
        <w:t>海洋生物医药与制品业，提高海洋经济发展水平</w:t>
      </w:r>
      <w:r>
        <w:t>。</w:t>
      </w:r>
      <w:r>
        <w:rPr>
          <w:rFonts w:hint="eastAsia"/>
        </w:rPr>
        <w:t>巩固生态系统生产价值核算试点成果，</w:t>
      </w:r>
      <w:r>
        <w:rPr>
          <w:rFonts w:hint="eastAsia"/>
          <w:color w:val="333333"/>
          <w:spacing w:val="8"/>
          <w:shd w:val="clear" w:color="auto" w:fill="FFFFFF"/>
        </w:rPr>
        <w:t>推动生态产品价值核算在开发融资、生态资源权益交易等方面的应用。开展“两山”基地（名词解释7）创建，</w:t>
      </w:r>
      <w:r>
        <w:rPr>
          <w:rFonts w:hint="eastAsia" w:ascii="仿宋" w:hAnsi="仿宋" w:cs="宋体"/>
          <w:color w:val="333333"/>
          <w:kern w:val="0"/>
          <w:szCs w:val="30"/>
          <w:shd w:val="clear" w:color="auto" w:fill="FFFFFF"/>
        </w:rPr>
        <w:t>以同安区埭头溪下游生态治理项目（省级生态产品市场化改革试点项目）为重点，推动各区结合自身自然资源禀赋，聚焦生态旅游、海洋产业、生态农业、健康养生等领域，推进生态产品价值实现</w:t>
      </w:r>
      <w:r>
        <w:rPr>
          <w:rFonts w:hint="eastAsia" w:ascii="仿宋" w:hAnsi="仿宋"/>
          <w:szCs w:val="30"/>
        </w:rPr>
        <w:t>。</w:t>
      </w:r>
      <w:r>
        <w:rPr>
          <w:rFonts w:hint="eastAsia"/>
        </w:rPr>
        <w:t>到2</w:t>
      </w:r>
      <w:r>
        <w:t>025</w:t>
      </w:r>
      <w:r>
        <w:rPr>
          <w:rFonts w:hint="eastAsia"/>
        </w:rPr>
        <w:t>年，将生态旅游打造成为厦门旅游新名片，将海洋原生态水产品加工业和生物医药产业打造为海洋经济发展新亮点，各区形成各具特色的生态产品价值实现路径。</w:t>
      </w:r>
    </w:p>
    <w:p>
      <w:pPr>
        <w:pStyle w:val="12"/>
        <w:pBdr>
          <w:bottom w:val="none" w:color="auto" w:sz="0" w:space="0"/>
        </w:pBdr>
        <w:spacing w:beforeLines="50"/>
        <w:rPr>
          <w:rFonts w:ascii="仿宋" w:hAnsi="仿宋"/>
          <w:b/>
          <w:bCs/>
          <w:sz w:val="24"/>
          <w:szCs w:val="24"/>
        </w:rPr>
      </w:pPr>
      <w:r>
        <w:rPr>
          <w:rFonts w:hint="eastAsia" w:ascii="仿宋" w:hAnsi="仿宋"/>
          <w:b/>
          <w:bCs/>
          <w:sz w:val="24"/>
          <w:szCs w:val="24"/>
        </w:rPr>
        <w:t>专栏4：生态产品价值实现重点项目</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tcPr>
          <w:p>
            <w:pPr>
              <w:ind w:firstLine="602" w:firstLineChars="200"/>
            </w:pPr>
            <w:r>
              <w:rPr>
                <w:rFonts w:hint="eastAsia"/>
                <w:b/>
                <w:bCs/>
              </w:rPr>
              <w:t>思明区东坪山生态旅游区。</w:t>
            </w:r>
            <w:r>
              <w:rPr>
                <w:rFonts w:hint="eastAsia"/>
              </w:rPr>
              <w:t>加快东坪山片区生态旅游发展提升，深化东坪山片区近零碳排放区示范工程试点，重点打造生态观光、亲子研学、体育休闲、文化体验、特色住宿等旅游产品。</w:t>
            </w:r>
          </w:p>
          <w:p>
            <w:pPr>
              <w:ind w:firstLine="602" w:firstLineChars="200"/>
            </w:pPr>
            <w:r>
              <w:rPr>
                <w:rFonts w:hint="eastAsia"/>
                <w:b/>
                <w:bCs/>
              </w:rPr>
              <w:t>海沧区东孚街道生态农旅项目。</w:t>
            </w:r>
            <w:r>
              <w:rPr>
                <w:rFonts w:hint="eastAsia"/>
              </w:rPr>
              <w:t>依托“淘宝中国福建绿植花卉产业带”直播平台，打造绿植花卉产业带直播大楼，做到“街道有直播楼，村居有直播站，庭院有直播点”。通过花卉直播点，带动花农变身直播达人，促进乡村生态振兴。</w:t>
            </w:r>
          </w:p>
          <w:p>
            <w:pPr>
              <w:ind w:firstLine="602" w:firstLineChars="200"/>
              <w:rPr>
                <w:rFonts w:ascii="仿宋" w:hAnsi="仿宋"/>
                <w:szCs w:val="30"/>
              </w:rPr>
            </w:pPr>
            <w:r>
              <w:rPr>
                <w:rFonts w:hint="eastAsia" w:ascii="仿宋" w:hAnsi="仿宋"/>
                <w:b/>
                <w:bCs/>
                <w:szCs w:val="30"/>
              </w:rPr>
              <w:t>集美城区海岸线修复项目。</w:t>
            </w:r>
            <w:r>
              <w:rPr>
                <w:rFonts w:hint="eastAsia" w:ascii="仿宋" w:hAnsi="仿宋"/>
                <w:szCs w:val="30"/>
              </w:rPr>
              <w:t>在城区沿海试点区域打造“以心带轴、以轴带面”的空间结构，开展海域生态修复与保护，形成“陆、海、城”相融共生的滨海带新格局。实施杏林大桥-新阳大桥段岸线整治工程、厦门大桥-集美大桥段集美侧海岸带保护修复一期工程，逐步建立具有自然海岸形态特征和生态功能的海岸线。通过生态修复和保护，丰富生态产品价值核算体系，提升生态产品供给能力。</w:t>
            </w:r>
          </w:p>
          <w:p>
            <w:pPr>
              <w:ind w:firstLine="602" w:firstLineChars="200"/>
            </w:pPr>
            <w:r>
              <w:rPr>
                <w:rFonts w:hint="eastAsia"/>
                <w:b/>
                <w:bCs/>
              </w:rPr>
              <w:t>同安区埭头溪下游生态治理项目</w:t>
            </w:r>
            <w:r>
              <w:rPr>
                <w:rFonts w:hint="eastAsia"/>
              </w:rPr>
              <w:t>。以埭头溪下游区域生态环境综合整治为抓手，探索实施流域水体保护与开发经营权试点改革。通过流域综合治理，建立生态产品功能量和价值量核算体系，培育基于水生态环境的特色产业，调动地方政府、企业、农民共同参与污染治理与生态保护的积极性，打造“富美同安”样板。</w:t>
            </w:r>
          </w:p>
        </w:tc>
      </w:tr>
    </w:tbl>
    <w:p/>
    <w:p>
      <w:pPr>
        <w:pStyle w:val="3"/>
      </w:pPr>
      <w:bookmarkStart w:id="15" w:name="_Toc83204017"/>
      <w:r>
        <w:rPr>
          <w:rFonts w:hint="eastAsia"/>
        </w:rPr>
        <w:t>第三节  人居环境高品质提升工程</w:t>
      </w:r>
      <w:bookmarkEnd w:id="15"/>
    </w:p>
    <w:p>
      <w:pPr>
        <w:ind w:firstLine="600" w:firstLineChars="200"/>
      </w:pPr>
      <w:r>
        <w:rPr>
          <w:rFonts w:hint="eastAsia"/>
        </w:rPr>
        <w:t>深化大气环境系统治理，持续改善水环境和近岸海域水质，不断提升农村人居环境水平，力争城乡绿化和宜居水平保持全国领先，城乡居民美好生活的获得感和幸福感不断增强。</w:t>
      </w:r>
    </w:p>
    <w:p>
      <w:pPr>
        <w:ind w:firstLine="602" w:firstLineChars="200"/>
      </w:pPr>
      <w:r>
        <w:rPr>
          <w:rFonts w:hint="eastAsia" w:ascii="黑体" w:hAnsi="黑体"/>
          <w:b/>
          <w:bCs/>
        </w:rPr>
        <w:t>深化大气环境系统治理。</w:t>
      </w:r>
      <w:r>
        <w:rPr>
          <w:rFonts w:hint="eastAsia" w:ascii="黑体" w:hAnsi="黑体"/>
        </w:rPr>
        <w:t>大力推进重点区域、重点企业挥发性有机物污染综合整治，加大低（无）</w:t>
      </w:r>
      <w:r>
        <w:t>VOCs</w:t>
      </w:r>
      <w:r>
        <w:rPr>
          <w:rFonts w:hint="eastAsia"/>
        </w:rPr>
        <w:t>（名词解释8）</w:t>
      </w:r>
      <w:r>
        <w:rPr>
          <w:rFonts w:ascii="黑体" w:hAnsi="黑体"/>
        </w:rPr>
        <w:t>含量原辅材料</w:t>
      </w:r>
      <w:r>
        <w:rPr>
          <w:rFonts w:hint="eastAsia" w:ascii="黑体" w:hAnsi="黑体"/>
        </w:rPr>
        <w:t>源头替代力度，控制无组织排放，强化挥发性有机物综合</w:t>
      </w:r>
      <w:r>
        <w:rPr>
          <w:rFonts w:ascii="黑体" w:hAnsi="黑体"/>
        </w:rPr>
        <w:t>整治</w:t>
      </w:r>
      <w:r>
        <w:rPr>
          <w:rFonts w:hint="eastAsia" w:ascii="黑体" w:hAnsi="黑体"/>
        </w:rPr>
        <w:t>。</w:t>
      </w:r>
      <w:r>
        <w:rPr>
          <w:rFonts w:hint="eastAsia"/>
        </w:rPr>
        <w:t>研究制定加强</w:t>
      </w:r>
      <w:r>
        <w:t>臭氧和PM2.5协同控制持续改善空气质量行动计划</w:t>
      </w:r>
      <w:r>
        <w:rPr>
          <w:rFonts w:hint="eastAsia"/>
        </w:rPr>
        <w:t>，</w:t>
      </w:r>
      <w:r>
        <w:t>协同</w:t>
      </w:r>
      <w:r>
        <w:rPr>
          <w:rFonts w:hint="eastAsia"/>
        </w:rPr>
        <w:t>开展污染防治</w:t>
      </w:r>
      <w:r>
        <w:t>。</w:t>
      </w:r>
      <w:r>
        <w:rPr>
          <w:rFonts w:hint="eastAsia"/>
        </w:rPr>
        <w:t>大力推广</w:t>
      </w:r>
      <w:r>
        <w:t>新能源汽车，</w:t>
      </w:r>
      <w:r>
        <w:rPr>
          <w:rFonts w:hint="eastAsia"/>
        </w:rPr>
        <w:t>开展清洁油品行动，</w:t>
      </w:r>
      <w:r>
        <w:rPr>
          <w:rFonts w:hint="eastAsia" w:ascii="仿宋" w:hAnsi="仿宋" w:cs="CESI仿宋-GB2312"/>
          <w:kern w:val="0"/>
        </w:rPr>
        <w:t>加强移动源污染排放控制</w:t>
      </w:r>
      <w:r>
        <w:rPr>
          <w:rFonts w:hint="eastAsia" w:ascii="仿宋" w:hAnsi="仿宋"/>
        </w:rPr>
        <w:t>。</w:t>
      </w:r>
      <w:r>
        <w:rPr>
          <w:rFonts w:hint="eastAsia"/>
        </w:rPr>
        <w:t>加强施工扬尘监管、道路扬尘与堆场扬尘治理。推进厦门市移动源综合监管平台建设，</w:t>
      </w:r>
      <w:r>
        <w:t>全面提升大气污染监测预警精细化水平</w:t>
      </w:r>
      <w:r>
        <w:rPr>
          <w:rFonts w:hint="eastAsia"/>
        </w:rPr>
        <w:t>。到2</w:t>
      </w:r>
      <w:r>
        <w:t>025</w:t>
      </w:r>
      <w:r>
        <w:rPr>
          <w:rFonts w:hint="eastAsia"/>
        </w:rPr>
        <w:t>年，保持空气质量优良天数比例排名全国领先，细颗粒物（</w:t>
      </w:r>
      <w:r>
        <w:t>PM2.5</w:t>
      </w:r>
      <w:r>
        <w:rPr>
          <w:rFonts w:hint="eastAsia"/>
        </w:rPr>
        <w:t>）年均浓度保持较优水平。</w:t>
      </w:r>
    </w:p>
    <w:p>
      <w:pPr>
        <w:adjustRightInd w:val="0"/>
        <w:snapToGrid w:val="0"/>
        <w:ind w:firstLine="602" w:firstLineChars="200"/>
      </w:pPr>
      <w:r>
        <w:rPr>
          <w:rFonts w:hint="eastAsia" w:ascii="黑体" w:hAnsi="黑体"/>
          <w:b/>
          <w:bCs/>
        </w:rPr>
        <w:t>推进水环境综合治理。</w:t>
      </w:r>
      <w:r>
        <w:rPr>
          <w:rFonts w:hint="eastAsia"/>
        </w:rPr>
        <w:t>深化河湖长制，强化全流域综合治理。适度超前规划污水处理基础设施，</w:t>
      </w:r>
      <w:r>
        <w:rPr>
          <w:rFonts w:hint="eastAsia" w:ascii="黑体" w:hAnsi="黑体"/>
        </w:rPr>
        <w:t>继续实施</w:t>
      </w:r>
      <w:r>
        <w:rPr>
          <w:rFonts w:hint="eastAsia"/>
        </w:rPr>
        <w:t>污水处理能力提升“三个一百”工程（名词解释9），强化城镇污水处理。推进排水管网溯源排查与雨污分流改造，降低城市内涝风险。深入开展入河（湖）排污口整治工作。推行“厂网河”一体化运营管理模式，依托排污许可证信息，逐步建立“水体</w:t>
      </w:r>
      <w:r>
        <w:t>-入河（海）排污口-排污管线-污染源”全链条管理的水污染物排放治理体系</w:t>
      </w:r>
      <w:r>
        <w:rPr>
          <w:rFonts w:hint="eastAsia"/>
        </w:rPr>
        <w:t>，深化“一河一策”综合治理。高质量高标准实施农村生活污水高质量高标准提升治理工程。持续推进全市水源地专项整治，保障饮用水水源和地下水环境安全。加强工业企业污水处理与城镇污水处理设施运行监管，建立全覆盖的动态监测预警系统，深化水污染防治长效机制。到2</w:t>
      </w:r>
      <w:r>
        <w:t>025</w:t>
      </w:r>
      <w:r>
        <w:rPr>
          <w:rFonts w:hint="eastAsia"/>
        </w:rPr>
        <w:t>年，地表水达到或优于Ⅲ类水体比例达到省下达任务要求。</w:t>
      </w:r>
    </w:p>
    <w:p>
      <w:pPr>
        <w:adjustRightInd w:val="0"/>
        <w:snapToGrid w:val="0"/>
        <w:ind w:firstLine="602" w:firstLineChars="200"/>
        <w:rPr>
          <w:rFonts w:ascii="Times New Roman" w:hAnsi="Times New Roman" w:eastAsia="仿宋_GB2312"/>
          <w:szCs w:val="30"/>
        </w:rPr>
      </w:pPr>
      <w:r>
        <w:rPr>
          <w:rFonts w:hint="eastAsia" w:ascii="黑体" w:hAnsi="黑体"/>
          <w:b/>
          <w:bCs/>
        </w:rPr>
        <w:t>加强陆海水系协同治理。</w:t>
      </w:r>
      <w:r>
        <w:rPr>
          <w:rFonts w:hint="eastAsia" w:ascii="黑体" w:hAnsi="黑体"/>
        </w:rPr>
        <w:t>深化溪流综合治理，提高河道生态自净能力。强化入海排口监督管理，</w:t>
      </w:r>
      <w:r>
        <w:rPr>
          <w:rFonts w:hint="eastAsia"/>
        </w:rPr>
        <w:t>建立</w:t>
      </w:r>
      <w:r>
        <w:rPr>
          <w:rFonts w:hint="eastAsia" w:ascii="仿宋" w:hAnsi="仿宋"/>
          <w:szCs w:val="30"/>
        </w:rPr>
        <w:t>入海排污口长效监管机制</w:t>
      </w:r>
      <w:r>
        <w:rPr>
          <w:rFonts w:hint="eastAsia"/>
        </w:rPr>
        <w:t>。编制实施“一湾一策”综合治理规划，加强近岸海域环境综合整治。加强海漂垃圾污染防治与收集处置，强化海漂垃圾信息化管理。加强对入海流域、海域沿岸及海上各类船舶作业、滨海旅游和海上倾废等活动监督，有效衔接城市公共转运、处置设施，提升港口污染物接收能力。建立“湾长制”管理体系，强化与“河湖长制”管理体系衔接，实施区域流域海域污染防治和生态保护修复责任衔接、协调联动和统一监管。到</w:t>
      </w:r>
      <w:r>
        <w:t>2025</w:t>
      </w:r>
      <w:r>
        <w:rPr>
          <w:rFonts w:hint="eastAsia"/>
        </w:rPr>
        <w:t>年，实现近岸海域水质优良比例持续提升。</w:t>
      </w:r>
    </w:p>
    <w:p>
      <w:pPr>
        <w:ind w:firstLine="602" w:firstLineChars="200"/>
      </w:pPr>
      <w:r>
        <w:rPr>
          <w:rFonts w:hint="eastAsia" w:ascii="黑体" w:hAnsi="黑体"/>
          <w:b/>
          <w:bCs/>
        </w:rPr>
        <w:t>强化土壤安全与固废治理</w:t>
      </w:r>
      <w:r>
        <w:rPr>
          <w:rFonts w:hint="eastAsia"/>
          <w:b/>
          <w:bCs/>
        </w:rPr>
        <w:t>。</w:t>
      </w:r>
      <w:r>
        <w:rPr>
          <w:rFonts w:hint="eastAsia"/>
        </w:rPr>
        <w:t>建立健全重点行业企业用地土壤污染风险管控和修复名录，有序推进土壤风险管控与治理修复项目实施。制定实施受污染耕地安全利用方案，科学推进受污染耕地安全利用。针对在册危废利用处置企业，实施“培育一批、提升一批、整治一批”工程，提升危废利用处置综合能力。推进新一轮医废处置设施“扩能提质”和补短板工程，完善重大传染病疫情期间医疗废物应急处置机制，确保涉医废和生活垃圾安全处理处置。建设全市再生资源回收体系，促进“两网融合”（名词解释1</w:t>
      </w:r>
      <w:r>
        <w:t>0</w:t>
      </w:r>
      <w:r>
        <w:rPr>
          <w:rFonts w:hint="eastAsia"/>
        </w:rPr>
        <w:t>），提升生活</w:t>
      </w:r>
      <w:r>
        <w:t>垃圾减量化</w:t>
      </w:r>
      <w:r>
        <w:rPr>
          <w:rFonts w:hint="eastAsia"/>
        </w:rPr>
        <w:t>、</w:t>
      </w:r>
      <w:r>
        <w:t>资源</w:t>
      </w:r>
      <w:r>
        <w:rPr>
          <w:rFonts w:hint="eastAsia"/>
        </w:rPr>
        <w:t>化水平。推动固体废弃物环境智慧应用系统与重点单位智能化可追溯监管等平台建设，提高土壤环境信息化管理水平，强化固体废弃物源头管控。到2</w:t>
      </w:r>
      <w:r>
        <w:t>025</w:t>
      </w:r>
      <w:r>
        <w:rPr>
          <w:rFonts w:hint="eastAsia"/>
        </w:rPr>
        <w:t>年，保持生活垃圾无害化处理率</w:t>
      </w:r>
      <w:r>
        <w:t>100</w:t>
      </w:r>
      <w:r>
        <w:rPr>
          <w:rFonts w:hint="eastAsia"/>
        </w:rPr>
        <w:t>%。</w:t>
      </w:r>
    </w:p>
    <w:p>
      <w:pPr>
        <w:pStyle w:val="12"/>
        <w:pBdr>
          <w:bottom w:val="none" w:color="auto" w:sz="0" w:space="0"/>
        </w:pBdr>
        <w:spacing w:beforeLines="50"/>
        <w:ind w:right="181"/>
        <w:rPr>
          <w:rFonts w:ascii="仿宋" w:hAnsi="仿宋"/>
          <w:b/>
          <w:bCs/>
          <w:sz w:val="24"/>
          <w:szCs w:val="24"/>
        </w:rPr>
      </w:pPr>
      <w:r>
        <w:rPr>
          <w:rFonts w:hint="eastAsia" w:ascii="仿宋" w:hAnsi="仿宋"/>
          <w:b/>
          <w:bCs/>
          <w:sz w:val="24"/>
          <w:szCs w:val="24"/>
        </w:rPr>
        <w:t>专栏</w:t>
      </w:r>
      <w:r>
        <w:rPr>
          <w:rFonts w:ascii="仿宋" w:hAnsi="仿宋"/>
          <w:b/>
          <w:bCs/>
          <w:sz w:val="24"/>
          <w:szCs w:val="24"/>
        </w:rPr>
        <w:t>5</w:t>
      </w:r>
      <w:r>
        <w:rPr>
          <w:rFonts w:hint="eastAsia" w:ascii="仿宋" w:hAnsi="仿宋"/>
          <w:b/>
          <w:bCs/>
          <w:sz w:val="24"/>
          <w:szCs w:val="24"/>
        </w:rPr>
        <w:t>：生态环境污染防治重点工程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tcPr>
          <w:p>
            <w:pPr>
              <w:ind w:firstLine="530" w:firstLineChars="176"/>
            </w:pPr>
            <w:r>
              <w:rPr>
                <w:rFonts w:hint="eastAsia"/>
                <w:b/>
                <w:bCs/>
              </w:rPr>
              <w:t>蓝天工程。</w:t>
            </w:r>
            <w:r>
              <w:rPr>
                <w:rFonts w:hint="eastAsia"/>
              </w:rPr>
              <w:t>包括加油站和储油库无组织排放提升整治项目等</w:t>
            </w:r>
            <w:r>
              <w:t>。</w:t>
            </w:r>
          </w:p>
          <w:p>
            <w:pPr>
              <w:ind w:firstLine="530" w:firstLineChars="176"/>
            </w:pPr>
            <w:r>
              <w:rPr>
                <w:rFonts w:hint="eastAsia"/>
                <w:b/>
                <w:bCs/>
              </w:rPr>
              <w:t>碧水工程。</w:t>
            </w:r>
            <w:r>
              <w:rPr>
                <w:rFonts w:hint="eastAsia"/>
              </w:rPr>
              <w:t>包括污水处理能力提升“三个一百”工程，雨污管网正本清源工程，农村生活污水高质量高标准提升治理工程，小流域水环境综合治理工程，美丽河湖建设工程，筼筜湖清淤工程，西溪流域隘头潭段和九龙江口水污染减排项目等。</w:t>
            </w:r>
          </w:p>
          <w:p>
            <w:pPr>
              <w:ind w:firstLine="530" w:firstLineChars="176"/>
            </w:pPr>
            <w:r>
              <w:rPr>
                <w:rFonts w:hint="eastAsia"/>
                <w:b/>
                <w:bCs/>
              </w:rPr>
              <w:t>蓝海工程</w:t>
            </w:r>
            <w:r>
              <w:rPr>
                <w:rFonts w:hint="eastAsia"/>
              </w:rPr>
              <w:t>。包括海漂垃圾治理、入海排放口整治、海域清淤工程（琼头外侧、下后滨外侧等）、岸线保护和生态综合整治项目（鳌冠海域、滨海浪漫线二期、三期等）等。</w:t>
            </w:r>
          </w:p>
          <w:p>
            <w:pPr>
              <w:ind w:firstLine="530" w:firstLineChars="176"/>
            </w:pPr>
            <w:r>
              <w:rPr>
                <w:rFonts w:hint="eastAsia"/>
                <w:b/>
                <w:bCs/>
              </w:rPr>
              <w:t>净土工程。</w:t>
            </w:r>
            <w:r>
              <w:rPr>
                <w:rFonts w:hint="eastAsia"/>
              </w:rPr>
              <w:t>包括生物质资源再生项目（一期、二期），东部固废处理中心填埋场二期，工业废物处置中心二期。</w:t>
            </w:r>
          </w:p>
        </w:tc>
      </w:tr>
    </w:tbl>
    <w:p>
      <w:pPr>
        <w:ind w:firstLine="602" w:firstLineChars="200"/>
      </w:pPr>
      <w:r>
        <w:rPr>
          <w:rFonts w:hint="eastAsia" w:ascii="黑体" w:hAnsi="黑体"/>
          <w:b/>
          <w:bCs/>
        </w:rPr>
        <w:t>优化提升农村人居环境。</w:t>
      </w:r>
      <w:r>
        <w:rPr>
          <w:rFonts w:hint="eastAsia" w:ascii="黑体" w:hAnsi="黑体"/>
        </w:rPr>
        <w:t>按照“优先采用截污纳管，不具备纳管条件采用分散式”处理的总体思路，</w:t>
      </w:r>
      <w:r>
        <w:rPr>
          <w:rFonts w:hint="eastAsia"/>
        </w:rPr>
        <w:t>建立农村生活污水治理长效管护机制，</w:t>
      </w:r>
      <w:r>
        <w:rPr>
          <w:rFonts w:hint="eastAsia" w:ascii="黑体" w:hAnsi="黑体"/>
        </w:rPr>
        <w:t>加快补齐</w:t>
      </w:r>
      <w:r>
        <w:rPr>
          <w:rFonts w:hint="eastAsia"/>
        </w:rPr>
        <w:t>农村污水处理短板，全面推进农村生活污水高质量高标准全链条系统化治理提升工程</w:t>
      </w:r>
      <w:r>
        <w:rPr>
          <w:rFonts w:hint="eastAsia" w:ascii="黑体" w:hAnsi="黑体"/>
        </w:rPr>
        <w:t>。健全农村生活垃圾镇街保洁收集、区转运、</w:t>
      </w:r>
      <w:r>
        <w:rPr>
          <w:rFonts w:ascii="黑体" w:hAnsi="黑体"/>
        </w:rPr>
        <w:t>市处理体系，实现城乡环卫一体化、农村生活垃圾处置体系全覆盖</w:t>
      </w:r>
      <w:r>
        <w:rPr>
          <w:rFonts w:hint="eastAsia" w:ascii="黑体" w:hAnsi="黑体"/>
        </w:rPr>
        <w:t>。全面推进“绿盈乡村”建设，坚持“绿化、绿韵、绿态、绿魂”建设理念，深化实施“一革命四行动”（名词解释1</w:t>
      </w:r>
      <w:r>
        <w:rPr>
          <w:rFonts w:ascii="黑体" w:hAnsi="黑体"/>
        </w:rPr>
        <w:t>1</w:t>
      </w:r>
      <w:r>
        <w:rPr>
          <w:rFonts w:hint="eastAsia" w:ascii="黑体" w:hAnsi="黑体"/>
        </w:rPr>
        <w:t>），分级实施、分类建设，逐步实现绿盈</w:t>
      </w:r>
      <w:r>
        <w:rPr>
          <w:rFonts w:hint="eastAsia"/>
        </w:rPr>
        <w:t>乡村初级版到中级版、高级版梯次提升，打造具有厦门特色的村容村貌整洁优美、生态系统健康稳定的美丽乡村。到2</w:t>
      </w:r>
      <w:r>
        <w:t>025</w:t>
      </w:r>
      <w:r>
        <w:rPr>
          <w:rFonts w:hint="eastAsia"/>
        </w:rPr>
        <w:t>年，实现绿盈乡村初级版到中级版、高级版梯次提升。</w:t>
      </w:r>
    </w:p>
    <w:p>
      <w:pPr>
        <w:pStyle w:val="3"/>
      </w:pPr>
      <w:bookmarkStart w:id="16" w:name="_Toc83204018"/>
      <w:r>
        <w:rPr>
          <w:rFonts w:hint="eastAsia"/>
        </w:rPr>
        <w:t>第四节  绿色生活高标准营造工程</w:t>
      </w:r>
      <w:bookmarkEnd w:id="16"/>
    </w:p>
    <w:p>
      <w:pPr>
        <w:ind w:firstLine="600"/>
      </w:pPr>
      <w:r>
        <w:rPr>
          <w:rFonts w:hint="eastAsia"/>
        </w:rPr>
        <w:t>推动全社会践行绿色发展理念，促进绿色消费升级，优化绿色消费理念、生活方式形成的外部环境，推动绿色出行常态化、绿色消费日常化，加快形成简约适度、</w:t>
      </w:r>
      <w:r>
        <w:t>绿色低碳、文明健康</w:t>
      </w:r>
      <w:r>
        <w:rPr>
          <w:rFonts w:hint="eastAsia"/>
        </w:rPr>
        <w:t>的生活方式。</w:t>
      </w:r>
    </w:p>
    <w:p>
      <w:pPr>
        <w:ind w:firstLine="602" w:firstLineChars="200"/>
      </w:pPr>
      <w:r>
        <w:rPr>
          <w:rFonts w:hint="eastAsia" w:ascii="黑体" w:hAnsi="黑体"/>
          <w:b/>
          <w:bCs/>
        </w:rPr>
        <w:t>加强绿色基础设施供给。</w:t>
      </w:r>
      <w:r>
        <w:rPr>
          <w:rFonts w:hint="eastAsia" w:ascii="黑体" w:hAnsi="黑体"/>
        </w:rPr>
        <w:t>持续</w:t>
      </w:r>
      <w:r>
        <w:rPr>
          <w:rFonts w:hint="eastAsia"/>
        </w:rPr>
        <w:t>完善综合公共交通系统，</w:t>
      </w:r>
      <w:r>
        <w:rPr>
          <w:rFonts w:hint="eastAsia" w:ascii="黑体" w:hAnsi="黑体"/>
        </w:rPr>
        <w:t>调整优化地面公交线路和站点布局，加快</w:t>
      </w:r>
      <w:r>
        <w:rPr>
          <w:rFonts w:hint="eastAsia"/>
        </w:rPr>
        <w:t>建设智慧出行服务平台，</w:t>
      </w:r>
      <w:r>
        <w:rPr>
          <w:rFonts w:hint="eastAsia" w:ascii="黑体" w:hAnsi="黑体"/>
        </w:rPr>
        <w:t>打造</w:t>
      </w:r>
      <w:r>
        <w:rPr>
          <w:rFonts w:hint="eastAsia"/>
        </w:rPr>
        <w:t>“一站购票”“无缝出行”的一体化公共交通服务网络。以</w:t>
      </w:r>
      <w:r>
        <w:t>BRT公交</w:t>
      </w:r>
      <w:r>
        <w:rPr>
          <w:rFonts w:hint="eastAsia"/>
        </w:rPr>
        <w:t>车</w:t>
      </w:r>
      <w:r>
        <w:t>5G车联网为基础</w:t>
      </w:r>
      <w:r>
        <w:rPr>
          <w:rFonts w:hint="eastAsia"/>
        </w:rPr>
        <w:t>，</w:t>
      </w:r>
      <w:r>
        <w:t>推动5G覆盖线路区域智能驾驶应用</w:t>
      </w:r>
      <w:r>
        <w:rPr>
          <w:rFonts w:hint="eastAsia"/>
        </w:rPr>
        <w:t>，</w:t>
      </w:r>
      <w:r>
        <w:t>打造城市公</w:t>
      </w:r>
      <w:r>
        <w:rPr>
          <w:rFonts w:hint="eastAsia"/>
        </w:rPr>
        <w:t>共交通</w:t>
      </w:r>
      <w:r>
        <w:t>5G车路协同应用示范</w:t>
      </w:r>
      <w:r>
        <w:rPr>
          <w:rFonts w:hint="eastAsia"/>
        </w:rPr>
        <w:t>。推进</w:t>
      </w:r>
      <w:r>
        <w:t>全市</w:t>
      </w:r>
      <w:r>
        <w:rPr>
          <w:rFonts w:hint="eastAsia"/>
        </w:rPr>
        <w:t>山海步道、滨海步道、溪畔步道等</w:t>
      </w:r>
      <w:r>
        <w:t>健康步道</w:t>
      </w:r>
      <w:r>
        <w:rPr>
          <w:rFonts w:hint="eastAsia"/>
        </w:rPr>
        <w:t>建设，</w:t>
      </w:r>
      <w:r>
        <w:rPr>
          <w:rFonts w:hint="eastAsia" w:ascii="黑体" w:hAnsi="黑体"/>
        </w:rPr>
        <w:t>推动轨道交通网络、地面公交网络、慢行网络融合发展，</w:t>
      </w:r>
      <w:r>
        <w:rPr>
          <w:rFonts w:hint="eastAsia"/>
        </w:rPr>
        <w:t>建设</w:t>
      </w:r>
      <w:r>
        <w:rPr>
          <w:rFonts w:hint="eastAsia" w:ascii="黑体" w:hAnsi="黑体"/>
        </w:rPr>
        <w:t>“绿色交通城市”</w:t>
      </w:r>
      <w:r>
        <w:rPr>
          <w:rFonts w:hint="eastAsia"/>
        </w:rPr>
        <w:t>。广泛开展节约型机关、绿色家庭、绿色学校、绿色社区、绿色商场等创建行动，推进公共机构、社区、学校、商场的水、电、气、路等基础设施绿色化。积极推广新建、改扩建公共建筑、商业建筑屋顶立面绿化，引导建设花园式、园林式社区，营造绿色居住环境。到</w:t>
      </w:r>
      <w:r>
        <w:t>2025</w:t>
      </w:r>
      <w:r>
        <w:rPr>
          <w:rFonts w:hint="eastAsia"/>
        </w:rPr>
        <w:t>年，实现绿色出行比例达</w:t>
      </w:r>
      <w:r>
        <w:t>70%</w:t>
      </w:r>
      <w:r>
        <w:rPr>
          <w:rFonts w:hint="eastAsia"/>
        </w:rPr>
        <w:t>（或以上），绿色生活创建行动覆盖面持续扩大，城市社区基础设施绿色化水平不断提升。</w:t>
      </w:r>
    </w:p>
    <w:p>
      <w:pPr>
        <w:pStyle w:val="12"/>
        <w:pBdr>
          <w:bottom w:val="none" w:color="auto" w:sz="0" w:space="0"/>
        </w:pBdr>
        <w:spacing w:beforeLines="50"/>
        <w:ind w:right="181"/>
        <w:rPr>
          <w:rFonts w:ascii="仿宋" w:hAnsi="仿宋"/>
          <w:b/>
          <w:bCs/>
          <w:sz w:val="24"/>
          <w:szCs w:val="24"/>
        </w:rPr>
      </w:pPr>
      <w:r>
        <w:rPr>
          <w:rFonts w:hint="eastAsia" w:ascii="仿宋" w:hAnsi="仿宋"/>
          <w:b/>
          <w:bCs/>
          <w:sz w:val="24"/>
          <w:szCs w:val="24"/>
        </w:rPr>
        <w:t>专栏6：高品质城市公交与慢行网络建设工程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tcPr>
          <w:p>
            <w:pPr>
              <w:ind w:firstLine="602" w:firstLineChars="200"/>
            </w:pPr>
            <w:r>
              <w:rPr>
                <w:rFonts w:hint="eastAsia"/>
                <w:b/>
                <w:bCs/>
              </w:rPr>
              <w:t>轨道交通网络。</w:t>
            </w:r>
            <w:r>
              <w:rPr>
                <w:rFonts w:hint="eastAsia"/>
              </w:rPr>
              <w:t>加快推进轨道交通</w:t>
            </w:r>
            <w:r>
              <w:t>4、6、9号线建设</w:t>
            </w:r>
            <w:r>
              <w:rPr>
                <w:rFonts w:hint="eastAsia"/>
              </w:rPr>
              <w:t>。</w:t>
            </w:r>
          </w:p>
          <w:p>
            <w:pPr>
              <w:ind w:firstLine="602" w:firstLineChars="200"/>
              <w:rPr>
                <w:b/>
                <w:bCs/>
              </w:rPr>
            </w:pPr>
            <w:r>
              <w:rPr>
                <w:rFonts w:hint="eastAsia"/>
                <w:b/>
                <w:bCs/>
              </w:rPr>
              <w:t>地面公交网络。</w:t>
            </w:r>
            <w:r>
              <w:rPr>
                <w:rFonts w:hint="eastAsia"/>
              </w:rPr>
              <w:t>加快建设马銮湾枢纽、同安新城枢纽、厦门新机场枢纽等，与综合客运枢纽、普通客运站、普通客运码头组成多层次客运枢纽体系。</w:t>
            </w:r>
          </w:p>
          <w:p>
            <w:pPr>
              <w:ind w:firstLine="602" w:firstLineChars="200"/>
            </w:pPr>
            <w:r>
              <w:rPr>
                <w:rFonts w:hint="eastAsia"/>
                <w:b/>
                <w:bCs/>
              </w:rPr>
              <w:t>城市慢行网络。</w:t>
            </w:r>
            <w:r>
              <w:rPr>
                <w:rFonts w:hint="eastAsia"/>
              </w:rPr>
              <w:t>有序推进本岛“一环三水两横两纵”、海沧区“两湾一山三溪”、集美区“两湾一山两走廊”、同安区“一湾三山三走廊”、翔安区“一带一山一走廊”慢行网络建设，充分发挥厦门山、海自然地形特点，将厦门打造成为国内领先的高品质慢行城市。</w:t>
            </w:r>
          </w:p>
        </w:tc>
      </w:tr>
    </w:tbl>
    <w:p>
      <w:pPr>
        <w:ind w:firstLine="602" w:firstLineChars="200"/>
      </w:pPr>
      <w:r>
        <w:rPr>
          <w:rFonts w:hint="eastAsia" w:ascii="黑体" w:hAnsi="黑体"/>
          <w:b/>
          <w:bCs/>
        </w:rPr>
        <w:t>促进绿色消费全面升级。</w:t>
      </w:r>
      <w:r>
        <w:rPr>
          <w:rFonts w:hint="eastAsia"/>
        </w:rPr>
        <w:t>以绿色商场创建为载体，</w:t>
      </w:r>
      <w:r>
        <w:rPr>
          <w:rFonts w:hint="eastAsia" w:ascii="PingFang SC" w:hAnsi="PingFang SC"/>
          <w:color w:val="000000"/>
          <w:spacing w:val="15"/>
        </w:rPr>
        <w:t>将绿</w:t>
      </w:r>
      <w:r>
        <w:rPr>
          <w:rFonts w:ascii="PingFang SC" w:hAnsi="PingFang SC"/>
          <w:color w:val="000000"/>
          <w:spacing w:val="15"/>
        </w:rPr>
        <w:t>色发展融入供应链、服务链、消费链等全链条</w:t>
      </w:r>
      <w:r>
        <w:rPr>
          <w:rFonts w:hint="eastAsia"/>
        </w:rPr>
        <w:t>。</w:t>
      </w:r>
      <w:r>
        <w:rPr>
          <w:rFonts w:ascii="PingFang SC" w:hAnsi="PingFang SC"/>
          <w:color w:val="000000"/>
          <w:spacing w:val="15"/>
        </w:rPr>
        <w:t>加大绿色产品引进</w:t>
      </w:r>
      <w:r>
        <w:rPr>
          <w:rFonts w:hint="eastAsia" w:ascii="PingFang SC" w:hAnsi="PingFang SC"/>
          <w:color w:val="000000"/>
          <w:spacing w:val="15"/>
        </w:rPr>
        <w:t>与</w:t>
      </w:r>
      <w:r>
        <w:rPr>
          <w:rFonts w:ascii="PingFang SC" w:hAnsi="PingFang SC"/>
          <w:color w:val="000000"/>
          <w:spacing w:val="15"/>
        </w:rPr>
        <w:t>销售</w:t>
      </w:r>
      <w:r>
        <w:rPr>
          <w:rFonts w:hint="eastAsia" w:ascii="PingFang SC" w:hAnsi="PingFang SC"/>
          <w:color w:val="000000"/>
          <w:spacing w:val="15"/>
        </w:rPr>
        <w:t>，大力倡导绿色消费和绿色物流。</w:t>
      </w:r>
      <w:r>
        <w:rPr>
          <w:rFonts w:hint="eastAsia"/>
        </w:rPr>
        <w:t>持续扩大政府绿色采购范围，在国有企业推广绿色采购制度。深入推进“限塑令”（名词解释1</w:t>
      </w:r>
      <w:r>
        <w:t>2</w:t>
      </w:r>
      <w:r>
        <w:rPr>
          <w:rFonts w:hint="eastAsia"/>
        </w:rPr>
        <w:t>），建立健全一次性塑料制品使用、回收工作数据报送机制，推动物流业快递包装、商旅业一次性用品减量化，持续扩大塑料替代品推广与应用范围。</w:t>
      </w:r>
      <w:r>
        <w:rPr>
          <w:rFonts w:hint="eastAsia" w:ascii="黑体" w:hAnsi="黑体"/>
        </w:rPr>
        <w:t>鼓励社区、商场引入创新型资源回收平台，持续开展绿色回收活动，提升公民垃圾分类的积极性、主动性，不断营造绿色消费积极氛围</w:t>
      </w:r>
      <w:r>
        <w:rPr>
          <w:rFonts w:hint="eastAsia"/>
        </w:rPr>
        <w:t>。到2</w:t>
      </w:r>
      <w:r>
        <w:t>025</w:t>
      </w:r>
      <w:r>
        <w:rPr>
          <w:rFonts w:hint="eastAsia"/>
        </w:rPr>
        <w:t>年，人均生活垃圾日产生量不超过1.15千克</w:t>
      </w:r>
      <w:r>
        <w:t>/</w:t>
      </w:r>
      <w:r>
        <w:rPr>
          <w:rFonts w:hint="eastAsia"/>
        </w:rPr>
        <w:t>日。</w:t>
      </w:r>
    </w:p>
    <w:p>
      <w:pPr>
        <w:pStyle w:val="3"/>
      </w:pPr>
      <w:bookmarkStart w:id="17" w:name="_Toc83204019"/>
      <w:r>
        <w:rPr>
          <w:rFonts w:hint="eastAsia"/>
        </w:rPr>
        <w:t>第五节  社会共建共治体系建设工程</w:t>
      </w:r>
      <w:bookmarkEnd w:id="17"/>
    </w:p>
    <w:p>
      <w:pPr>
        <w:ind w:firstLine="600" w:firstLineChars="200"/>
      </w:pPr>
      <w:r>
        <w:rPr>
          <w:rFonts w:hint="eastAsia"/>
        </w:rPr>
        <w:t>加强生态文明宣传教育，拓展“白鹭分”平台应用，依托社区推动社会多元共治，不断拓宽共建共治渠道、丰富共建共治形式，形成全民参与生态文明建设新高潮。</w:t>
      </w:r>
    </w:p>
    <w:p>
      <w:pPr>
        <w:ind w:firstLine="602" w:firstLineChars="200"/>
      </w:pPr>
      <w:r>
        <w:rPr>
          <w:rFonts w:hint="eastAsia" w:ascii="黑体" w:hAnsi="黑体"/>
          <w:b/>
          <w:bCs/>
        </w:rPr>
        <w:t>加强生态文明宣传教育。</w:t>
      </w:r>
      <w:r>
        <w:rPr>
          <w:rFonts w:hint="eastAsia"/>
        </w:rPr>
        <w:t>建设生态文明展示馆，直观呈现厦门生态文明源流，重现厦门生态环保城市记忆。重点利用世界环境日、世界地球日、低碳日、节能周等，依托“白鹭分”“</w:t>
      </w:r>
      <w:r>
        <w:t>e</w:t>
      </w:r>
      <w:r>
        <w:rPr>
          <w:rFonts w:hint="eastAsia"/>
        </w:rPr>
        <w:t>厦门”等互联网平台，策划互动性强、影响力大的线上线下环保主题活动，激发全民参与热情。鼓励学前教育开展光盘行动、垃圾分类等启蒙教育，不断创新中小学、高校学生生态环保教育模式，将生态文明教育融入育人全过程。鼓励企业</w:t>
      </w:r>
      <w:r>
        <w:rPr>
          <w:rFonts w:hint="eastAsia" w:ascii="黑体" w:hAnsi="黑体"/>
        </w:rPr>
        <w:t>将生态环境保护纳入企业文化建设和培训体系</w:t>
      </w:r>
      <w:r>
        <w:rPr>
          <w:rFonts w:hint="eastAsia"/>
        </w:rPr>
        <w:t>，倡导绿色生产价值观。依托新时代文明实践中心，组织开展环保实践活动，不断丰富生态环保宣传教育的形式与内容。到</w:t>
      </w:r>
      <w:r>
        <w:t>2025</w:t>
      </w:r>
      <w:r>
        <w:rPr>
          <w:rFonts w:hint="eastAsia"/>
        </w:rPr>
        <w:t>年，建成“筼筜故事”生态文明展示馆，厦门生态文明品牌影响力显著提升，实现生态文明宣传教育政府、企业、社会全覆盖，绿色理念深入人心。</w:t>
      </w:r>
    </w:p>
    <w:p>
      <w:pPr>
        <w:ind w:firstLine="602" w:firstLineChars="200"/>
      </w:pPr>
      <w:r>
        <w:rPr>
          <w:rFonts w:hint="eastAsia" w:ascii="黑体" w:hAnsi="黑体"/>
          <w:b/>
          <w:bCs/>
        </w:rPr>
        <w:t>创新白鹭积分共建模式。</w:t>
      </w:r>
      <w:r>
        <w:rPr>
          <w:rFonts w:hint="eastAsia" w:ascii="黑体" w:hAnsi="黑体"/>
        </w:rPr>
        <w:t>拓宽“白鹭分”生态文明领域应用场景，积极推动与“绿海鸥垃圾分类在行动”平台场景互嵌、积分互认，持续探索在垃圾分类、绿色出行、绿色消费等领域推行“积分兑换”</w:t>
      </w:r>
      <w:r>
        <w:rPr>
          <w:rFonts w:ascii="黑体" w:hAnsi="黑体"/>
        </w:rPr>
        <w:t>机制，</w:t>
      </w:r>
      <w:r>
        <w:t>激发全民践行绿色生活方式积极性。</w:t>
      </w:r>
      <w:r>
        <w:rPr>
          <w:rFonts w:hint="eastAsia"/>
        </w:rPr>
        <w:t>完善“白鹭分”平台建设，拓展微信小程序、A</w:t>
      </w:r>
      <w:r>
        <w:t>PP</w:t>
      </w:r>
      <w:r>
        <w:rPr>
          <w:rFonts w:hint="eastAsia"/>
        </w:rPr>
        <w:t>、网页等服务端，提升“白鹭分”社会覆盖率与渗透率。推动构建生态文明社会信用评价体系与积分体系，扩展应用场景，形成全国示范效应。到2</w:t>
      </w:r>
      <w:r>
        <w:t>025</w:t>
      </w:r>
      <w:r>
        <w:rPr>
          <w:rFonts w:hint="eastAsia"/>
        </w:rPr>
        <w:t>年，实现“互联网+生态文明全民行动”应用场景不断丰富、公民参与度不断提高、生态文明社会信用体系基本建立。</w:t>
      </w:r>
    </w:p>
    <w:p>
      <w:pPr>
        <w:ind w:firstLine="602" w:firstLineChars="200"/>
      </w:pPr>
      <w:r>
        <w:rPr>
          <w:rFonts w:hint="eastAsia" w:ascii="黑体" w:hAnsi="黑体"/>
          <w:b/>
          <w:bCs/>
        </w:rPr>
        <w:t>打造社会多元共治典范。</w:t>
      </w:r>
      <w:r>
        <w:rPr>
          <w:rFonts w:hint="eastAsia" w:ascii="黑体" w:hAnsi="黑体"/>
        </w:rPr>
        <w:t>完善重点企业生态环保信息公开制度，</w:t>
      </w:r>
      <w:r>
        <w:rPr>
          <w:rFonts w:hint="eastAsia"/>
        </w:rPr>
        <w:t>提升信息公开透明度，</w:t>
      </w:r>
      <w:r>
        <w:rPr>
          <w:rFonts w:hint="eastAsia" w:ascii="黑体" w:hAnsi="黑体"/>
        </w:rPr>
        <w:t>加强社会监督力度</w:t>
      </w:r>
      <w:r>
        <w:rPr>
          <w:rFonts w:hint="eastAsia"/>
        </w:rPr>
        <w:t>。扩大环保志愿者队伍，鼓励生态环保非营利组织发展。依托社区基层组织，探索开展“居民种植管养</w:t>
      </w:r>
      <w:r>
        <w:t>+街道社区拨划资源+</w:t>
      </w:r>
      <w:r>
        <w:rPr>
          <w:rFonts w:hint="eastAsia"/>
        </w:rPr>
        <w:t>行业管理</w:t>
      </w:r>
      <w:r>
        <w:t>部门选址选种”的“社区花园”</w:t>
      </w:r>
      <w:r>
        <w:rPr>
          <w:rFonts w:hint="eastAsia"/>
        </w:rPr>
        <w:t>创新</w:t>
      </w:r>
      <w:r>
        <w:t>模式</w:t>
      </w:r>
      <w:r>
        <w:rPr>
          <w:rFonts w:hint="eastAsia"/>
        </w:rPr>
        <w:t>。推广社区民主协商议事机制，群策群力提升社区垃圾分类、绿地管养、道路清洁等工作质量，助力社区生态文明建设，培育市民“主人翁”意识。持续推进农村环境保护纳入村规民约，提高农民绿色生产生活意识，强化村民生态环保事务自治能力。到2</w:t>
      </w:r>
      <w:r>
        <w:t>025</w:t>
      </w:r>
      <w:r>
        <w:rPr>
          <w:rFonts w:hint="eastAsia"/>
        </w:rPr>
        <w:t>年，保持重点企业生态环保信息全公开，实现公民参与生态文明共建共治的形式不断丰富，社区基层组织日益活跃。</w:t>
      </w:r>
    </w:p>
    <w:p>
      <w:pPr>
        <w:spacing w:beforeLines="50"/>
        <w:jc w:val="center"/>
        <w:rPr>
          <w:rFonts w:ascii="仿宋" w:hAnsi="仿宋"/>
          <w:b/>
          <w:bCs/>
          <w:sz w:val="24"/>
          <w:szCs w:val="24"/>
        </w:rPr>
      </w:pPr>
      <w:r>
        <w:rPr>
          <w:rFonts w:hint="eastAsia" w:ascii="仿宋" w:hAnsi="仿宋"/>
          <w:b/>
          <w:bCs/>
          <w:sz w:val="24"/>
          <w:szCs w:val="24"/>
        </w:rPr>
        <w:t>专栏7：“互联网+”生态文明共建工程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tcPr>
          <w:p>
            <w:pPr>
              <w:ind w:firstLine="602" w:firstLineChars="200"/>
              <w:rPr>
                <w:b/>
                <w:bCs/>
              </w:rPr>
            </w:pPr>
          </w:p>
          <w:p>
            <w:pPr>
              <w:ind w:firstLine="602" w:firstLineChars="200"/>
            </w:pPr>
            <w:r>
              <w:rPr>
                <w:rFonts w:hint="eastAsia"/>
                <w:b/>
                <w:bCs/>
              </w:rPr>
              <w:t>“白鹭分”市民信用综合评价平台。</w:t>
            </w:r>
            <w:r>
              <w:rPr>
                <w:rFonts w:hint="eastAsia"/>
              </w:rPr>
              <w:t>进一步完善生活垃圾分类激励模型，丰富绿色生活方式评价模型。持续扩大“白鹭分”应用场景，由公共自行车免押金租借、图书馆信用借阅等公共服务场景，向社会互助场景、消费场景拓展，不断激发全民参与积极性。</w:t>
            </w:r>
          </w:p>
        </w:tc>
      </w:tr>
    </w:tbl>
    <w:p/>
    <w:p>
      <w:pPr>
        <w:pStyle w:val="3"/>
      </w:pPr>
      <w:bookmarkStart w:id="18" w:name="_Toc83204020"/>
      <w:r>
        <w:rPr>
          <w:rFonts w:hint="eastAsia"/>
        </w:rPr>
        <w:t>第六节  城市与生态深化融合工程</w:t>
      </w:r>
      <w:bookmarkEnd w:id="18"/>
    </w:p>
    <w:p>
      <w:pPr>
        <w:ind w:firstLine="600" w:firstLineChars="200"/>
        <w:rPr>
          <w:color w:val="FF0000"/>
        </w:rPr>
      </w:pPr>
      <w:r>
        <w:rPr>
          <w:rFonts w:hint="eastAsia"/>
        </w:rPr>
        <w:t>着力构建花园城市发展格局，系统实施生态保护与修复，加强生物多样性保护，建设国土空间基础信息平台和生态环境大数据平台，进一步凸显厦门市山海环抱、自然天成的本底特点，建设高颜值生态花园之城。</w:t>
      </w:r>
    </w:p>
    <w:p>
      <w:pPr>
        <w:ind w:firstLine="602" w:firstLineChars="200"/>
      </w:pPr>
      <w:r>
        <w:rPr>
          <w:rFonts w:hint="eastAsia" w:ascii="黑体" w:hAnsi="黑体"/>
          <w:b/>
          <w:bCs/>
        </w:rPr>
        <w:t>提升花园城市发展格局。</w:t>
      </w:r>
      <w:r>
        <w:rPr>
          <w:rFonts w:hint="eastAsia"/>
        </w:rPr>
        <w:t>持续推进重要景观界面山体林相改造，保护和恢复城市山体自然风貌。落实城乡环境提质专项规划、交通绿化景观整治行动方案等规划（方案），结合景观提升与生态修复，逐步形成“生态优良、绿量充足、结构合理、分布均匀、功能完善、文化凸显、特色鲜明、全民共享”的绿化格局。因地制宜推进郊野公园、综合公园、专类公园、社区公园、口袋公园等各类公园建设，构建多样化、多层次的公园体系。通过丰富的植物品种运用，构建“山、海、城”融合的城市生态绿化景观风格。加强城市绿地廊道建设，进一步提升城市生态系统功能，推动生态美与景观美有机统一。到2</w:t>
      </w:r>
      <w:r>
        <w:t>025</w:t>
      </w:r>
      <w:r>
        <w:rPr>
          <w:rFonts w:hint="eastAsia"/>
        </w:rPr>
        <w:t>年，实现全市建成区绿化覆盖率达40%（或以上）、人均公园绿地面积不低于12平方米。</w:t>
      </w:r>
    </w:p>
    <w:p>
      <w:pPr>
        <w:ind w:firstLine="600"/>
      </w:pPr>
      <w:r>
        <w:rPr>
          <w:rFonts w:hint="eastAsia"/>
          <w:b/>
          <w:bCs/>
        </w:rPr>
        <w:t>推进美丽海湾建设。</w:t>
      </w:r>
      <w:r>
        <w:rPr>
          <w:rFonts w:hint="eastAsia"/>
        </w:rPr>
        <w:t>加快厦门市空间格局由海岛型城市向海湾型城市转变，坚持保护与开发利用并重。</w:t>
      </w:r>
      <w:r>
        <w:rPr>
          <w:rFonts w:ascii="Times New Roman" w:hAnsi="Times New Roman"/>
        </w:rPr>
        <w:t>优化海洋开发布局，</w:t>
      </w:r>
      <w:r>
        <w:rPr>
          <w:rFonts w:hint="eastAsia" w:ascii="Times New Roman" w:hAnsi="Times New Roman"/>
        </w:rPr>
        <w:t>充分考虑</w:t>
      </w:r>
      <w:r>
        <w:rPr>
          <w:rFonts w:ascii="Times New Roman" w:hAnsi="Times New Roman"/>
        </w:rPr>
        <w:t>未来产业基础和发展潜力、资源环境承载力，</w:t>
      </w:r>
      <w:r>
        <w:rPr>
          <w:rFonts w:hint="eastAsia" w:ascii="Times New Roman" w:hAnsi="Times New Roman"/>
        </w:rPr>
        <w:t>构建“</w:t>
      </w:r>
      <w:r>
        <w:rPr>
          <w:rFonts w:ascii="Times New Roman" w:hAnsi="Times New Roman"/>
        </w:rPr>
        <w:t>三园、两带、两港、一区</w:t>
      </w:r>
      <w:r>
        <w:rPr>
          <w:rFonts w:hint="eastAsia" w:ascii="Times New Roman" w:hAnsi="Times New Roman"/>
        </w:rPr>
        <w:t>”</w:t>
      </w:r>
      <w:r>
        <w:rPr>
          <w:rFonts w:ascii="Times New Roman" w:hAnsi="Times New Roman"/>
        </w:rPr>
        <w:t>海洋经济发展空间格局</w:t>
      </w:r>
      <w:r>
        <w:rPr>
          <w:rFonts w:hint="eastAsia" w:ascii="Times New Roman" w:hAnsi="Times New Roman"/>
        </w:rPr>
        <w:t>。</w:t>
      </w:r>
      <w:r>
        <w:rPr>
          <w:rFonts w:hint="eastAsia"/>
        </w:rPr>
        <w:t>“一湾一策”精准实施海湾环境污染治理、生态保护修复、亲海品质提升等重点任务和重大工程，系统推进“美丽海湾”保护与建设。着力形成陆海统筹、整体保护、系统治理的海洋生态环境分区管治体系，以海湾生态环境的高水平保护促进湾区高质量发展。到2025年，厦门岛东南部海域建成“美丽海湾”，人民群众临海亲海的获得感、幸福感和安全感显著增强</w:t>
      </w:r>
      <w:r>
        <w:rPr>
          <w:rFonts w:hint="eastAsia" w:ascii="仿宋_GB2312" w:hAnsi="仿宋" w:eastAsia="仿宋_GB2312"/>
          <w:sz w:val="32"/>
          <w:szCs w:val="28"/>
        </w:rPr>
        <w:t>。</w:t>
      </w:r>
    </w:p>
    <w:p>
      <w:pPr>
        <w:ind w:firstLine="602" w:firstLineChars="200"/>
      </w:pPr>
      <w:r>
        <w:rPr>
          <w:rFonts w:hint="eastAsia" w:ascii="黑体" w:hAnsi="黑体"/>
          <w:b/>
          <w:bCs/>
        </w:rPr>
        <w:t>实施生态系统保护修复。</w:t>
      </w:r>
      <w:r>
        <w:rPr>
          <w:rFonts w:hint="eastAsia"/>
        </w:rPr>
        <w:t>构筑“一屏、一湾、十廊”的生态格局。优先保护重点生态空间，将生态功能重要、生态系统脆弱、自然生态保护空缺的区划纳入自然保护地体系，加强整体性保护。全面推进“山水林田湖草”系统保护与修复，聚焦裸露山体、</w:t>
      </w:r>
      <w:r>
        <w:t>森林、流域、海洋等问题突出区域的生</w:t>
      </w:r>
      <w:r>
        <w:rPr>
          <w:rFonts w:hint="eastAsia"/>
        </w:rPr>
        <w:t>态修复需求，整治失序低效空间，修复损毁退化空间，系统推进重点区域生态修复。积极创建近零碳排放示范区，以最终恢复生态系统平衡为目标，持续推进生态系统保护与修复。到2</w:t>
      </w:r>
      <w:r>
        <w:t>025</w:t>
      </w:r>
      <w:r>
        <w:rPr>
          <w:rFonts w:hint="eastAsia"/>
        </w:rPr>
        <w:t>年，实现生态保护红线占国土空间面积比例与自然岸线保有率持稳，矿山全面修复，湿地资源得到有效保护与修复，生态系统固碳能力大幅提高。</w:t>
      </w:r>
    </w:p>
    <w:p>
      <w:pPr>
        <w:spacing w:beforeLines="50"/>
        <w:jc w:val="center"/>
        <w:rPr>
          <w:rFonts w:ascii="仿宋" w:hAnsi="仿宋"/>
          <w:b/>
          <w:bCs/>
          <w:sz w:val="24"/>
          <w:szCs w:val="24"/>
        </w:rPr>
      </w:pPr>
      <w:r>
        <w:rPr>
          <w:rFonts w:hint="eastAsia" w:ascii="仿宋" w:hAnsi="仿宋"/>
          <w:b/>
          <w:bCs/>
          <w:sz w:val="24"/>
          <w:szCs w:val="24"/>
        </w:rPr>
        <w:t>专栏</w:t>
      </w:r>
      <w:r>
        <w:rPr>
          <w:rFonts w:ascii="仿宋" w:hAnsi="仿宋"/>
          <w:b/>
          <w:bCs/>
          <w:sz w:val="24"/>
          <w:szCs w:val="24"/>
        </w:rPr>
        <w:t>8</w:t>
      </w:r>
      <w:r>
        <w:rPr>
          <w:rFonts w:hint="eastAsia" w:ascii="仿宋" w:hAnsi="仿宋"/>
          <w:b/>
          <w:bCs/>
          <w:sz w:val="24"/>
          <w:szCs w:val="24"/>
        </w:rPr>
        <w:t>：重点生态功能区保护与修复工程</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4" w:type="dxa"/>
          </w:tcPr>
          <w:p>
            <w:pPr>
              <w:ind w:firstLine="602" w:firstLineChars="200"/>
            </w:pPr>
            <w:bookmarkStart w:id="19" w:name="_Hlk80965887"/>
            <w:r>
              <w:rPr>
                <w:rFonts w:hint="eastAsia"/>
                <w:b/>
                <w:bCs/>
              </w:rPr>
              <w:t>废弃矿山修复工程</w:t>
            </w:r>
            <w:r>
              <w:rPr>
                <w:rFonts w:hint="eastAsia"/>
              </w:rPr>
              <w:t>。结合林相改造、绿化造林、公园建设、建筑渣土消纳等工作，重点推进同安禾山片区、洪塘片区已关闭的废弃采石坑的利用和绿化提升，以及翔安区小光山矿区的山体复绿工程，完成全市关闭废弃矿山综合治理。</w:t>
            </w:r>
          </w:p>
          <w:p>
            <w:pPr>
              <w:ind w:firstLine="602" w:firstLineChars="200"/>
            </w:pPr>
            <w:r>
              <w:rPr>
                <w:rFonts w:hint="eastAsia"/>
                <w:b/>
                <w:bCs/>
              </w:rPr>
              <w:t>林地修复工程。</w:t>
            </w:r>
            <w:r>
              <w:rPr>
                <w:rFonts w:hint="eastAsia"/>
              </w:rPr>
              <w:t>岛内重点对东坪山等林分进行林相改造；岛外结合各类公园、景区、门户区景观提升、饮用水源地保护区开展林相改造和林地修复，重点开展莲花水库水源涵养工程等。</w:t>
            </w:r>
          </w:p>
          <w:p>
            <w:pPr>
              <w:ind w:firstLine="602" w:firstLineChars="200"/>
            </w:pPr>
            <w:r>
              <w:rPr>
                <w:rFonts w:hint="eastAsia"/>
                <w:b/>
                <w:bCs/>
              </w:rPr>
              <w:t>海岸带修复工程。</w:t>
            </w:r>
            <w:r>
              <w:rPr>
                <w:rFonts w:hint="eastAsia"/>
              </w:rPr>
              <w:t>重点开展鳌冠海域岸线保护和生态综合整治工程、杏林大桥-新阳大桥段岸线整治工程、厦门大桥-集美大桥段集美侧海岸带保护修复一期工程。</w:t>
            </w:r>
          </w:p>
          <w:p>
            <w:pPr>
              <w:ind w:firstLine="602" w:firstLineChars="200"/>
            </w:pPr>
            <w:r>
              <w:rPr>
                <w:rFonts w:hint="eastAsia"/>
                <w:b/>
                <w:bCs/>
              </w:rPr>
              <w:t>海域修复工程。</w:t>
            </w:r>
            <w:r>
              <w:rPr>
                <w:rFonts w:hint="eastAsia"/>
              </w:rPr>
              <w:t>重点开展环东海域新城琼头外侧海域生态修复工程、环东海域新城下后滨外侧海域生态修复工程等。</w:t>
            </w:r>
          </w:p>
          <w:p>
            <w:pPr>
              <w:ind w:firstLine="602" w:firstLineChars="200"/>
            </w:pPr>
            <w:r>
              <w:rPr>
                <w:rFonts w:hint="eastAsia"/>
                <w:b/>
                <w:bCs/>
              </w:rPr>
              <w:t>溪流湖泊修复工程。</w:t>
            </w:r>
            <w:r>
              <w:rPr>
                <w:rFonts w:hint="eastAsia"/>
              </w:rPr>
              <w:t>重点开展苏厝溪流域整治、埭头溪（下游段）综合治理、筼筜湖生态环境整治提升一期、河道生态补水工程、后溪镇黄地村水系综合整治、九溪西林湖（朱坑村）生态湿地工程、官浔溪（环东海域新城段）综合治理工程等。</w:t>
            </w:r>
          </w:p>
          <w:p>
            <w:pPr>
              <w:ind w:firstLine="602" w:firstLineChars="200"/>
            </w:pPr>
            <w:r>
              <w:rPr>
                <w:rFonts w:hint="eastAsia"/>
                <w:b/>
                <w:bCs/>
              </w:rPr>
              <w:t>河口湿地修复工程。</w:t>
            </w:r>
            <w:r>
              <w:rPr>
                <w:rFonts w:hint="eastAsia"/>
              </w:rPr>
              <w:t>重点开展马銮湾新城过芸溪生态修复工程、马銮湾新城集美片区水生态修复工程、九溪口公园等。</w:t>
            </w:r>
          </w:p>
          <w:p>
            <w:pPr>
              <w:ind w:firstLine="602" w:firstLineChars="200"/>
            </w:pPr>
            <w:r>
              <w:rPr>
                <w:rFonts w:hint="eastAsia"/>
                <w:b/>
                <w:bCs/>
              </w:rPr>
              <w:t>绿地修复工程。</w:t>
            </w:r>
            <w:r>
              <w:rPr>
                <w:rFonts w:hint="eastAsia"/>
              </w:rPr>
              <w:t>重点开展马銮湾片区生态修复三期工程、马銮湾新城芸尾水道景观绿化工程、马銮湾新城环湾岸线新月段和内湾段绿化工程、同安高新技术产业基地白石山山地公园一期工程、集美新城软件园三期一号公园、溪岸路慢行系统（大溪地至同安大道段）工程、厦门山海健康步道（五缘湾-湖边水库、东坪山步道）景观提升工程、东坪山健康步道（东山水库-环岛路段）景观提升工程等。</w:t>
            </w:r>
          </w:p>
        </w:tc>
      </w:tr>
      <w:bookmarkEnd w:id="19"/>
    </w:tbl>
    <w:p>
      <w:pPr>
        <w:jc w:val="center"/>
        <w:rPr>
          <w:rFonts w:ascii="仿宋" w:hAnsi="仿宋"/>
          <w:b/>
          <w:bCs/>
          <w:sz w:val="24"/>
          <w:szCs w:val="24"/>
        </w:rPr>
      </w:pPr>
      <w:r>
        <w:rPr>
          <w:rFonts w:hint="eastAsia" w:ascii="仿宋" w:hAnsi="仿宋"/>
          <w:b/>
          <w:bCs/>
          <w:sz w:val="24"/>
          <w:szCs w:val="24"/>
        </w:rPr>
        <w:t>专栏</w:t>
      </w:r>
      <w:r>
        <w:rPr>
          <w:rFonts w:ascii="仿宋" w:hAnsi="仿宋"/>
          <w:b/>
          <w:bCs/>
          <w:sz w:val="24"/>
          <w:szCs w:val="24"/>
        </w:rPr>
        <w:t>9</w:t>
      </w:r>
      <w:r>
        <w:rPr>
          <w:rFonts w:hint="eastAsia" w:ascii="仿宋" w:hAnsi="仿宋"/>
          <w:b/>
          <w:bCs/>
          <w:sz w:val="24"/>
          <w:szCs w:val="24"/>
        </w:rPr>
        <w:t>：近零碳排放示范工程</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4" w:type="dxa"/>
          </w:tcPr>
          <w:p>
            <w:pPr>
              <w:ind w:firstLine="602" w:firstLineChars="200"/>
            </w:pPr>
            <w:r>
              <w:rPr>
                <w:rFonts w:hint="eastAsia"/>
                <w:b/>
                <w:bCs/>
              </w:rPr>
              <w:t>东坪山近零碳排放示范区。</w:t>
            </w:r>
            <w:r>
              <w:rPr>
                <w:rFonts w:hint="eastAsia" w:ascii="仿宋_GB2312" w:hAnsi="仿宋_GB2312" w:eastAsia="仿宋_GB2312" w:cs="仿宋_GB2312"/>
                <w:sz w:val="32"/>
                <w:szCs w:val="32"/>
              </w:rPr>
              <w:t>深化东坪山片区近零碳排放区示范工程创建试点，不断巩固提升近零碳排放建设成效，建设绿色低碳发展综合性示范工程</w:t>
            </w:r>
            <w:r>
              <w:rPr>
                <w:rFonts w:hint="eastAsia"/>
              </w:rPr>
              <w:t>。</w:t>
            </w:r>
          </w:p>
          <w:p>
            <w:pPr>
              <w:ind w:firstLine="600" w:firstLineChars="200"/>
            </w:pPr>
          </w:p>
        </w:tc>
      </w:tr>
    </w:tbl>
    <w:p>
      <w:pPr>
        <w:ind w:firstLine="602" w:firstLineChars="200"/>
        <w:rPr>
          <w:rFonts w:ascii="黑体" w:hAnsi="黑体"/>
          <w:b/>
          <w:bCs/>
        </w:rPr>
      </w:pPr>
      <w:r>
        <w:rPr>
          <w:rFonts w:hint="eastAsia" w:ascii="黑体" w:hAnsi="黑体"/>
          <w:b/>
          <w:bCs/>
        </w:rPr>
        <w:t>加强生物资源监督保护。</w:t>
      </w:r>
      <w:r>
        <w:rPr>
          <w:rFonts w:hint="eastAsia" w:ascii="黑体" w:hAnsi="黑体"/>
        </w:rPr>
        <w:t>进一步摸清生物多样性家底，准确评估各区域生物多样性丰富程度，开展常态化观测、监测、评价和预警。</w:t>
      </w:r>
      <w:r>
        <w:rPr>
          <w:rFonts w:hint="eastAsia"/>
        </w:rPr>
        <w:t>以栗喉蜂虎保护区、白鹭自然保护区为重点，打造自然保护地“天地空”立体化监测监督能力，推进自然保护地治理体系建设。加强海洋自然保护区建设，强化保护区监督执法，提升保护区规范化能力建设和管理水平，严格保护中华白海豚、文昌鱼等珍稀濒危物种及其栖息环境。全面提升珍稀濒危野生动植物救护、繁育和野化放归能力。到2</w:t>
      </w:r>
      <w:r>
        <w:t>025</w:t>
      </w:r>
      <w:r>
        <w:rPr>
          <w:rFonts w:hint="eastAsia"/>
        </w:rPr>
        <w:t>年，自然保护地监测监督体系建立健全、自然保护地面积占陆域国土面积比例保持不降低、国家重点保护野生动植物物种保护率达到</w:t>
      </w:r>
      <w:r>
        <w:t>95%以上</w:t>
      </w:r>
      <w:r>
        <w:rPr>
          <w:rFonts w:hint="eastAsia"/>
        </w:rPr>
        <w:t>。</w:t>
      </w:r>
    </w:p>
    <w:p>
      <w:pPr>
        <w:ind w:firstLine="600"/>
      </w:pPr>
      <w:r>
        <w:rPr>
          <w:rFonts w:hint="eastAsia" w:ascii="黑体" w:hAnsi="黑体"/>
          <w:b/>
          <w:bCs/>
        </w:rPr>
        <w:t>建立生态</w:t>
      </w:r>
      <w:r>
        <w:rPr>
          <w:rFonts w:hint="eastAsia"/>
          <w:b/>
          <w:bCs/>
        </w:rPr>
        <w:t>环境智慧平台。</w:t>
      </w:r>
      <w:r>
        <w:rPr>
          <w:rFonts w:hint="eastAsia"/>
        </w:rPr>
        <w:t>结合生态环保云平台、国土空间信息化、市政园林相关体系数字化建设需求，持续推进国土空间基础信息平台和生态环境大数据平台建设。推进数据共享云平台建设，建立健全数据管理工作机制，加快实现全方位、全要素、全周期的生态环境大数据与国土空间信息共享。着力构建和完善陆海统筹、天地一体、上下协同的生态环境监测网络，夯实数据基础，推进生态环境自动监控能力建设。不断提升智慧平台建设与运营水平，注重统筹推进、系统融合，推动建立自然生态保护与城市环境治理功能全覆盖、一体化的智慧化平台。到</w:t>
      </w:r>
      <w:r>
        <w:t>2025</w:t>
      </w:r>
      <w:r>
        <w:rPr>
          <w:rFonts w:hint="eastAsia"/>
        </w:rPr>
        <w:t>年，基本实现环境污染监管、自然资源管理、生态环境治理数字化、智慧化升级。</w:t>
      </w:r>
    </w:p>
    <w:p>
      <w:pPr>
        <w:spacing w:beforeLines="50"/>
        <w:jc w:val="center"/>
        <w:rPr>
          <w:rFonts w:ascii="仿宋" w:hAnsi="仿宋"/>
          <w:b/>
          <w:bCs/>
          <w:sz w:val="24"/>
          <w:szCs w:val="24"/>
        </w:rPr>
      </w:pPr>
      <w:r>
        <w:rPr>
          <w:rFonts w:hint="eastAsia" w:ascii="仿宋" w:hAnsi="仿宋"/>
          <w:b/>
          <w:bCs/>
          <w:sz w:val="24"/>
          <w:szCs w:val="24"/>
        </w:rPr>
        <w:t>专栏</w:t>
      </w:r>
      <w:r>
        <w:rPr>
          <w:rFonts w:ascii="仿宋" w:hAnsi="仿宋"/>
          <w:b/>
          <w:bCs/>
          <w:sz w:val="24"/>
          <w:szCs w:val="24"/>
        </w:rPr>
        <w:t>10</w:t>
      </w:r>
      <w:r>
        <w:rPr>
          <w:rFonts w:hint="eastAsia" w:ascii="仿宋" w:hAnsi="仿宋"/>
          <w:b/>
          <w:bCs/>
          <w:sz w:val="24"/>
          <w:szCs w:val="24"/>
        </w:rPr>
        <w:t>：生态环境智慧平台建设</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4" w:type="dxa"/>
          </w:tcPr>
          <w:p>
            <w:pPr>
              <w:ind w:firstLine="602" w:firstLineChars="200"/>
            </w:pPr>
            <w:r>
              <w:rPr>
                <w:rFonts w:hint="eastAsia"/>
                <w:b/>
                <w:bCs/>
              </w:rPr>
              <w:t>国土空间基础信息平台</w:t>
            </w:r>
            <w:r>
              <w:rPr>
                <w:rFonts w:hint="eastAsia"/>
              </w:rPr>
              <w:t>。深化</w:t>
            </w:r>
            <w:r>
              <w:t>国土空间基础信息资源体系和服务体系</w:t>
            </w:r>
            <w:r>
              <w:rPr>
                <w:rFonts w:hint="eastAsia"/>
              </w:rPr>
              <w:t>建设，</w:t>
            </w:r>
            <w:r>
              <w:t>为国土空间规划编制、行政审批、空间开发利用监测监管、空间决策分析等提供空间数据和信息技术保障</w:t>
            </w:r>
            <w:r>
              <w:rPr>
                <w:rFonts w:hint="eastAsia"/>
              </w:rPr>
              <w:t>。进一步完善国土空间规划“一张图”信息系统，建立“横向到边、纵向到底，全周期、全覆盖”的城市体检评估功能模块和系统，运用现代技术全面保障城市空间发展质量。</w:t>
            </w:r>
          </w:p>
          <w:p>
            <w:pPr>
              <w:ind w:firstLine="602" w:firstLineChars="200"/>
            </w:pPr>
            <w:r>
              <w:rPr>
                <w:rFonts w:hint="eastAsia"/>
                <w:b/>
                <w:bCs/>
              </w:rPr>
              <w:t>生态环境大数据平台。</w:t>
            </w:r>
            <w:r>
              <w:rPr>
                <w:rFonts w:hint="eastAsia"/>
              </w:rPr>
              <w:t>加强生态环境数据标准化、规范化，构建数据及业务模型，推进跨领域、跨部门信息共享共用模块，实施大气、水、土壤、重点片区废气噪声、重点行业污染物环境污染、碳排放信息化管理、智慧排涝、智慧市场模块建设，深入推进“一区一应用”生态环境信息化监管模块建设，为全市生态环境资源安全管理提供有力保障。</w:t>
            </w:r>
          </w:p>
        </w:tc>
      </w:tr>
    </w:tbl>
    <w:p>
      <w:pPr>
        <w:spacing w:beforeLines="50"/>
        <w:rPr>
          <w:rFonts w:ascii="仿宋" w:hAnsi="仿宋"/>
          <w:b/>
          <w:bCs/>
          <w:sz w:val="24"/>
          <w:szCs w:val="24"/>
        </w:rPr>
      </w:pPr>
    </w:p>
    <w:p>
      <w:pPr>
        <w:pStyle w:val="3"/>
      </w:pPr>
      <w:bookmarkStart w:id="20" w:name="_Toc83204021"/>
      <w:r>
        <w:rPr>
          <w:rFonts w:hint="eastAsia"/>
        </w:rPr>
        <w:t>第七节  闽西南绿色协同发展专项行动</w:t>
      </w:r>
      <w:bookmarkEnd w:id="20"/>
    </w:p>
    <w:p>
      <w:pPr>
        <w:ind w:firstLine="600" w:firstLineChars="200"/>
        <w:rPr>
          <w:color w:val="FF0000"/>
        </w:rPr>
      </w:pPr>
      <w:r>
        <w:rPr>
          <w:rFonts w:hint="eastAsia"/>
        </w:rPr>
        <w:t>落实闽西南协同发展区生态环境保护专项规划，推动信息共享、联防联控联治，缩小环境治理水平差距，加快推进闽西南地区绿色协同发展。</w:t>
      </w:r>
    </w:p>
    <w:p>
      <w:pPr>
        <w:ind w:firstLine="602" w:firstLineChars="200"/>
      </w:pPr>
      <w:r>
        <w:rPr>
          <w:rFonts w:hint="eastAsia" w:ascii="黑体" w:hAnsi="黑体"/>
          <w:b/>
          <w:bCs/>
        </w:rPr>
        <w:t>构建区域生态环保共同体。</w:t>
      </w:r>
      <w:r>
        <w:rPr>
          <w:rFonts w:hint="eastAsia"/>
        </w:rPr>
        <w:t>深化厦门-漳州-泉州大气污染联防联控联治机制，开展闽西南大气联合防治和污染天气区域应急联动。建立九龙江</w:t>
      </w:r>
      <w:r>
        <w:t>-厦门湾生态系统管理</w:t>
      </w:r>
      <w:r>
        <w:rPr>
          <w:rFonts w:hint="eastAsia"/>
        </w:rPr>
        <w:t>和饮用水源保护</w:t>
      </w:r>
      <w:r>
        <w:t>工作框架，落实联合巡查、联合</w:t>
      </w:r>
      <w:r>
        <w:rPr>
          <w:rFonts w:hint="eastAsia"/>
        </w:rPr>
        <w:t>监</w:t>
      </w:r>
      <w:r>
        <w:t>测、联合治理的“三联合”制</w:t>
      </w:r>
      <w:r>
        <w:rPr>
          <w:rFonts w:hint="eastAsia"/>
        </w:rPr>
        <w:t>度。</w:t>
      </w:r>
      <w:r>
        <w:t>建立九龙江</w:t>
      </w:r>
      <w:r>
        <w:rPr>
          <w:rFonts w:hint="eastAsia"/>
        </w:rPr>
        <w:t>饮用水源保护和</w:t>
      </w:r>
      <w:r>
        <w:t>入海污染物联防联控机制和区域性污染应急处理机制</w:t>
      </w:r>
      <w:r>
        <w:rPr>
          <w:rFonts w:hint="eastAsia"/>
        </w:rPr>
        <w:t>，强化厦漳泉和厦门湾海洋环保区域合作，共守生态保护空间格局。共同建设闽西南协同发展区生态环境司法协作平台，推进环境资源案件跨区划管辖制度改革。探索建立绿色产业政策协商机制，发挥闽西南城市比较优势，打造区域环保产业链。积极举办绿色商品交易、绿色产业发展、环保人才交流会议，汇聚财智，助力闽西南绿色产业协同发展。到2</w:t>
      </w:r>
      <w:r>
        <w:t>025</w:t>
      </w:r>
      <w:r>
        <w:rPr>
          <w:rFonts w:hint="eastAsia"/>
        </w:rPr>
        <w:t>年，生态环境协同能力迈上新台阶，闽西南协同发展区生态安全格局初步形成。</w:t>
      </w:r>
    </w:p>
    <w:p>
      <w:pPr>
        <w:spacing w:beforeLines="50"/>
        <w:jc w:val="center"/>
        <w:rPr>
          <w:rFonts w:ascii="仿宋" w:hAnsi="仿宋"/>
          <w:b/>
          <w:bCs/>
          <w:sz w:val="24"/>
          <w:szCs w:val="24"/>
        </w:rPr>
      </w:pPr>
      <w:r>
        <w:rPr>
          <w:rFonts w:hint="eastAsia" w:ascii="仿宋" w:hAnsi="仿宋"/>
          <w:b/>
          <w:bCs/>
          <w:sz w:val="24"/>
          <w:szCs w:val="24"/>
        </w:rPr>
        <w:t>专栏1</w:t>
      </w:r>
      <w:r>
        <w:rPr>
          <w:rFonts w:ascii="仿宋" w:hAnsi="仿宋"/>
          <w:b/>
          <w:bCs/>
          <w:sz w:val="24"/>
          <w:szCs w:val="24"/>
        </w:rPr>
        <w:t>1</w:t>
      </w:r>
      <w:r>
        <w:rPr>
          <w:rFonts w:hint="eastAsia" w:ascii="仿宋" w:hAnsi="仿宋"/>
          <w:b/>
          <w:bCs/>
          <w:sz w:val="24"/>
          <w:szCs w:val="24"/>
        </w:rPr>
        <w:t>：区域绿色协同发展专项工程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tcPr>
          <w:p>
            <w:pPr>
              <w:ind w:firstLine="530" w:firstLineChars="176"/>
            </w:pPr>
            <w:r>
              <w:rPr>
                <w:rFonts w:hint="eastAsia"/>
                <w:b/>
                <w:bCs/>
              </w:rPr>
              <w:t>闽西南绿色产业协作工程。</w:t>
            </w:r>
            <w:r>
              <w:rPr>
                <w:rFonts w:hint="eastAsia"/>
              </w:rPr>
              <w:t>共建“飞地”园区、山海协作产业园等平台，引导绿色产业有序转移聚集，共建产业集群。研究出台人才引进、金融支持等鼓励政策，加大对绿色产业项目的支持力度。健全绿色科技成果转化市场体系，完善知识产权交易、风险投资等绿色科技成果转化服务体系，实现科技引领绿色产业发展。</w:t>
            </w:r>
          </w:p>
        </w:tc>
      </w:tr>
    </w:tbl>
    <w:p>
      <w:pPr>
        <w:jc w:val="center"/>
        <w:rPr>
          <w:rFonts w:ascii="仿宋" w:hAnsi="仿宋"/>
          <w:b/>
          <w:bCs/>
          <w:sz w:val="24"/>
          <w:szCs w:val="24"/>
        </w:rPr>
      </w:pPr>
    </w:p>
    <w:p>
      <w:pPr>
        <w:pStyle w:val="3"/>
      </w:pPr>
      <w:bookmarkStart w:id="21" w:name="_Toc83204022"/>
      <w:r>
        <w:rPr>
          <w:rFonts w:hint="eastAsia"/>
        </w:rPr>
        <w:t>第八节  国际合作多元化建设专项行动</w:t>
      </w:r>
      <w:bookmarkEnd w:id="21"/>
    </w:p>
    <w:p>
      <w:pPr>
        <w:ind w:firstLine="600" w:firstLineChars="200"/>
      </w:pPr>
      <w:r>
        <w:rPr>
          <w:rFonts w:hint="eastAsia"/>
        </w:rPr>
        <w:t>基于厦门生态文明建设丰富的实践经验，依托厦门海上合作战略支点城市、国际知名会展城市的国际声誉与会展资源，建立国际合作长效机制，开启国际交流与合作新局面。</w:t>
      </w:r>
    </w:p>
    <w:p>
      <w:pPr>
        <w:ind w:firstLine="602" w:firstLineChars="200"/>
      </w:pPr>
      <w:r>
        <w:rPr>
          <w:rFonts w:hint="eastAsia" w:ascii="黑体" w:hAnsi="黑体"/>
          <w:b/>
          <w:bCs/>
        </w:rPr>
        <w:t>打造国际交流合作平台</w:t>
      </w:r>
      <w:r>
        <w:rPr>
          <w:rFonts w:hint="eastAsia" w:ascii="黑体" w:hAnsi="黑体"/>
        </w:rPr>
        <w:t>。</w:t>
      </w:r>
      <w:r>
        <w:rPr>
          <w:rFonts w:hint="eastAsia"/>
        </w:rPr>
        <w:t>以创建金砖国家新工业革命伙伴关系创新基地为契机，加强绿色技术合作，搭建多边产学研合作平台。积极引进金砖国家清洁能源、节能环保等领域创新主体，重点推动新能源材料、先进碳材料等绿色材料技术及氢能、海水淡化等绿色能源资源开发技术的国际交流与协作。持续完善中华白海豚保护国际合作机制建设，深化与海上丝绸之路沿线国家在海洋管理、海洋科技等领域的合作。认真履行东亚海岸带可持续发展地方政府网络秘书处职责，不断提升厦门在东亚海域海岸带管理的引领作用。加强生物安全管理国际协作，严控跨境网购等入境渠道，健全外来物种溯源调查与监测预警机制。做亮做大厦门国际海洋周，积极利用宣传媒体矩阵，提升厦门市生态文明建设成果的传播力和影响力。到2</w:t>
      </w:r>
      <w:r>
        <w:t>025</w:t>
      </w:r>
      <w:r>
        <w:rPr>
          <w:rFonts w:hint="eastAsia"/>
        </w:rPr>
        <w:t>年，基本建立绿色技术国际合作机制，城市综合影响力持续扩大。</w:t>
      </w:r>
    </w:p>
    <w:p>
      <w:pPr>
        <w:pStyle w:val="3"/>
      </w:pPr>
      <w:bookmarkStart w:id="22" w:name="_Toc83204023"/>
      <w:r>
        <w:rPr>
          <w:rFonts w:hint="eastAsia"/>
        </w:rPr>
        <w:t>第九节  持续深化生态文明体制改革行动</w:t>
      </w:r>
      <w:bookmarkEnd w:id="22"/>
    </w:p>
    <w:p>
      <w:pPr>
        <w:ind w:firstLine="600"/>
      </w:pPr>
      <w:r>
        <w:rPr>
          <w:rFonts w:hint="eastAsia"/>
        </w:rPr>
        <w:t>按照源头预防、过程控制、损害赔偿、责任追究的基本思路，总结经验、持续创新。进一步完善产权清晰、多元参与、激励约束并重、系统完整的生态文明制度体系。建立健全国土空间开发、资源节约利用、环境污染治理、生态保护修复的体制机制，全方位推进治理体系与治理能力现代化。</w:t>
      </w:r>
    </w:p>
    <w:p>
      <w:pPr>
        <w:ind w:firstLine="602" w:firstLineChars="200"/>
      </w:pPr>
      <w:r>
        <w:rPr>
          <w:rFonts w:hint="eastAsia" w:ascii="黑体" w:hAnsi="黑体"/>
          <w:b/>
          <w:bCs/>
          <w:szCs w:val="32"/>
        </w:rPr>
        <w:t>优化国土空间规划体系。</w:t>
      </w:r>
      <w:r>
        <w:rPr>
          <w:rFonts w:hint="eastAsia"/>
        </w:rPr>
        <w:t>科学编制和严格实施《厦门市国土空间总体规划（</w:t>
      </w:r>
      <w:r>
        <w:t>2020-2035 年）》，优化生态空间、生产空间和生活空间布局，</w:t>
      </w:r>
      <w:r>
        <w:rPr>
          <w:rFonts w:hint="eastAsia"/>
        </w:rPr>
        <w:t>形成全域全要素、陆海统筹的空间规划体系。严格生态保护红线、永久基本农田、城镇开发边界三条控制线的管控，强化国土空间用途管制。建设国土空间规划“一张图”实施监督信息系统，对规划编制、实施、监督进行全过程管理。实施国土空间监测预警和绩效考核机制，强化国土空间规划实施管理制度建设。</w:t>
      </w:r>
    </w:p>
    <w:p>
      <w:pPr>
        <w:ind w:firstLine="600"/>
      </w:pPr>
      <w:r>
        <w:rPr>
          <w:rFonts w:hint="eastAsia" w:ascii="黑体" w:hAnsi="黑体"/>
          <w:b/>
          <w:bCs/>
          <w:szCs w:val="32"/>
        </w:rPr>
        <w:t>建立健全自然资源保护和利用制度。</w:t>
      </w:r>
      <w:r>
        <w:rPr>
          <w:rFonts w:hint="eastAsia"/>
        </w:rPr>
        <w:t>加快厘清自然资源产权归属，明确各类自然资源产权主体及其权能，建立自然资源“确权登记</w:t>
      </w:r>
      <w:r>
        <w:t>-资产核算-开发利用”全链条保护与利用体系</w:t>
      </w:r>
      <w:r>
        <w:rPr>
          <w:rFonts w:hint="eastAsia"/>
        </w:rPr>
        <w:t>，完善自然资源资产产权确权登记制度体系。构建覆盖市、区、镇（街道）三级的自然资源资产的数据管理平台，持续优化自然资源资产管理体制。完善耕地保护与土地节约集约利用制度，落实能源和水资源消耗、建设用地等总量和强度“双控”制度，健全资源总量管理和节约利用制度。探索形成海洋、湿地等领域的生态修复工程评价标准，推进自然资源与生态系统修复标准化。落实自然资源承载力评估与报告制度，构建定期评估、动态预警的长效机制。</w:t>
      </w:r>
    </w:p>
    <w:p>
      <w:pPr>
        <w:ind w:firstLine="602" w:firstLineChars="200"/>
      </w:pPr>
      <w:r>
        <w:rPr>
          <w:rFonts w:hint="eastAsia" w:ascii="黑体" w:hAnsi="黑体"/>
          <w:b/>
          <w:bCs/>
          <w:szCs w:val="32"/>
        </w:rPr>
        <w:t>健全生态环保责任体系。</w:t>
      </w:r>
      <w:r>
        <w:rPr>
          <w:rFonts w:hint="eastAsia"/>
        </w:rPr>
        <w:t>完善生态文明建设、生态环保目标和污染防治攻坚战成效“三合一”考核机制，推动生态产品价值</w:t>
      </w:r>
      <w:r>
        <w:t>年度核算结果纳入考评体系</w:t>
      </w:r>
      <w:r>
        <w:rPr>
          <w:rFonts w:hint="eastAsia"/>
        </w:rPr>
        <w:t>，结合高质量综合绩效评价，开展绿色发展评价考核。完善领导干部自然资源资产离任审计与生态环境损害责任终身追究制度。完善企业生态环保信息公开制度，加大公开范围。强化企业信用管理主体责任，整合生态环保信用、节能信用、扬尘防治等领域信用管理制度，建立企业生态文明信用体系，完善信用评价和绿色金融联动机制。制定重点行业环保守则，落实生产者责任延伸制度与高风险领域环境污染强制责任保险制度。扩大公民参与生态文明建设的渠道，探索建立自然人生态文明信用体系与积分机制，引导公民自觉履行环境保护义务</w:t>
      </w:r>
      <w:r>
        <w:rPr>
          <w:rFonts w:hint="eastAsia" w:ascii="Arial" w:hAnsi="Arial" w:cs="Arial"/>
          <w:shd w:val="clear" w:color="auto" w:fill="FFFFFF"/>
        </w:rPr>
        <w:t>。</w:t>
      </w:r>
    </w:p>
    <w:p>
      <w:pPr>
        <w:ind w:firstLine="602" w:firstLineChars="200"/>
      </w:pPr>
      <w:r>
        <w:rPr>
          <w:rFonts w:hint="eastAsia" w:ascii="黑体" w:hAnsi="黑体"/>
          <w:b/>
          <w:bCs/>
        </w:rPr>
        <w:t>强化污染治理和生态保护市场体系。</w:t>
      </w:r>
      <w:r>
        <w:rPr>
          <w:rFonts w:hint="eastAsia"/>
        </w:rPr>
        <w:t>完善污水处理、固体废弃物处理收费政策，构建节水节能为导向的水、电价格机制。深入推进市场化治理模式创新，大力推行环境污染第三方治理，</w:t>
      </w:r>
      <w:r>
        <w:t>建立第三方服务监督管理制度</w:t>
      </w:r>
      <w:r>
        <w:rPr>
          <w:rFonts w:hint="eastAsia"/>
        </w:rPr>
        <w:t>。优化农业、交通运输等行业绿色发展奖励机制，加大对交通运输业绿色发展的财税支持力度。完善排污权等资源环境权益交易制度，配合国家和福建省完善碳排放权市场化改革，完善绿色发展市场激励机制。建立和完善市场化、多元化生态保护补偿机制，对天然林修复、湿地生态环境保护、海洋生态环境修复与保护等予以生态补偿。</w:t>
      </w:r>
    </w:p>
    <w:p>
      <w:pPr>
        <w:ind w:firstLine="602" w:firstLineChars="200"/>
      </w:pPr>
      <w:r>
        <w:rPr>
          <w:rFonts w:hint="eastAsia"/>
          <w:b/>
          <w:bCs/>
        </w:rPr>
        <w:t>建立健全生态产品价值实现机制。</w:t>
      </w:r>
      <w:r>
        <w:rPr>
          <w:rFonts w:hint="eastAsia"/>
          <w:color w:val="333333"/>
          <w:shd w:val="clear" w:color="auto" w:fill="FFFFFF"/>
        </w:rPr>
        <w:t>开展生态产品信息普查</w:t>
      </w:r>
      <w:r>
        <w:rPr>
          <w:rFonts w:hint="eastAsia"/>
        </w:rPr>
        <w:t>，依托</w:t>
      </w:r>
      <w:r>
        <w:rPr>
          <w:rFonts w:hint="eastAsia"/>
          <w:color w:val="333333"/>
          <w:shd w:val="clear" w:color="auto" w:fill="FFFFFF"/>
        </w:rPr>
        <w:t>自然资源统一确权登记，明确生态产品权责归属。</w:t>
      </w:r>
      <w:r>
        <w:rPr>
          <w:rFonts w:hint="eastAsia"/>
          <w:color w:val="333333"/>
          <w:spacing w:val="8"/>
          <w:shd w:val="clear" w:color="auto" w:fill="FFFFFF"/>
        </w:rPr>
        <w:t>以生态产品实物量为重点，以</w:t>
      </w:r>
      <w:r>
        <w:rPr>
          <w:rFonts w:hint="eastAsia"/>
        </w:rPr>
        <w:t>反映生态产品保护和开发成本与生态系统服务价值为目的，建设</w:t>
      </w:r>
      <w:r>
        <w:rPr>
          <w:rFonts w:hint="eastAsia"/>
          <w:color w:val="333333"/>
          <w:shd w:val="clear" w:color="auto" w:fill="FFFFFF"/>
        </w:rPr>
        <w:t>行政区域单元生态产品总值核算标准，探索建立特定地域单元生态产品价值评价体系。通过市场交易、经济补偿等手段，创新生态产品经济价值核算标准。积极开展</w:t>
      </w:r>
      <w:r>
        <w:rPr>
          <w:rFonts w:hint="eastAsia"/>
        </w:rPr>
        <w:t>生态资源权益交易、</w:t>
      </w:r>
      <w:r>
        <w:rPr>
          <w:rFonts w:ascii="Arial" w:hAnsi="Arial" w:cs="Arial"/>
          <w:color w:val="333333"/>
          <w:shd w:val="clear" w:color="auto" w:fill="FFFFFF"/>
        </w:rPr>
        <w:t>生态环境保护修复与生态产品经营开发权益挂钩</w:t>
      </w:r>
      <w:r>
        <w:rPr>
          <w:rFonts w:hint="eastAsia"/>
        </w:rPr>
        <w:t>等市场机制试点，</w:t>
      </w:r>
      <w:r>
        <w:rPr>
          <w:rFonts w:hint="eastAsia"/>
          <w:color w:val="333333"/>
          <w:shd w:val="clear" w:color="auto" w:fill="FFFFFF"/>
        </w:rPr>
        <w:t>形成生态产品经营开发机制创新成果。</w:t>
      </w:r>
    </w:p>
    <w:p>
      <w:pPr>
        <w:ind w:firstLine="602" w:firstLineChars="200"/>
      </w:pPr>
      <w:bookmarkStart w:id="23" w:name="_Hlk80789527"/>
      <w:r>
        <w:rPr>
          <w:rFonts w:hint="eastAsia" w:ascii="黑体" w:hAnsi="黑体"/>
          <w:b/>
          <w:bCs/>
          <w:szCs w:val="32"/>
        </w:rPr>
        <w:t>完善生态环境保护监管与执法机制</w:t>
      </w:r>
      <w:bookmarkEnd w:id="23"/>
      <w:r>
        <w:rPr>
          <w:rFonts w:hint="eastAsia" w:ascii="黑体" w:hAnsi="黑体"/>
          <w:b/>
          <w:bCs/>
          <w:szCs w:val="32"/>
        </w:rPr>
        <w:t>。</w:t>
      </w:r>
      <w:r>
        <w:rPr>
          <w:rFonts w:hint="eastAsia" w:ascii="黑体" w:hAnsi="黑体"/>
          <w:szCs w:val="32"/>
        </w:rPr>
        <w:t>组织核定水功能区水域、重点海域纳污能力。完善重点流域主要污染物排放总量管理制度，</w:t>
      </w:r>
      <w:r>
        <w:rPr>
          <w:rFonts w:hint="eastAsia"/>
        </w:rPr>
        <w:t>健全以排放许可证为核心的固定污染源监管制度和主要污染物减排约束制度。制定海洋生态环境保护、生</w:t>
      </w:r>
      <w:r>
        <w:rPr>
          <w:rFonts w:hint="eastAsia" w:ascii="黑体" w:hAnsi="黑体"/>
          <w:szCs w:val="32"/>
        </w:rPr>
        <w:t>物多样性保护、碳排放权交易等管理条例，研究制定有关近岸海域、农业农村面源、排污口、固体废物与化学品环境管理等标准与规范，持续完善生态环境地方性法律、法规和标准体系。深化生态环境保护综合行政执法改革，加强执法标准化能力建设。健全生态环境保护综合行政执法机关、公安机关、检察机关、审判机关协同联动制度，进一步推动行政执法和刑事司法“两法”衔接</w:t>
      </w:r>
      <w:r>
        <w:rPr>
          <w:rFonts w:hint="eastAsia"/>
        </w:rPr>
        <w:t>。</w:t>
      </w:r>
    </w:p>
    <w:p>
      <w:pPr>
        <w:spacing w:beforeLines="50"/>
        <w:jc w:val="center"/>
        <w:rPr>
          <w:rFonts w:ascii="仿宋" w:hAnsi="仿宋"/>
          <w:b/>
          <w:bCs/>
          <w:sz w:val="24"/>
          <w:szCs w:val="24"/>
        </w:rPr>
      </w:pPr>
      <w:r>
        <w:rPr>
          <w:rFonts w:hint="eastAsia" w:ascii="仿宋" w:hAnsi="仿宋"/>
          <w:b/>
          <w:bCs/>
          <w:sz w:val="24"/>
          <w:szCs w:val="24"/>
        </w:rPr>
        <w:t>专栏</w:t>
      </w:r>
      <w:r>
        <w:rPr>
          <w:rFonts w:ascii="仿宋" w:hAnsi="仿宋"/>
          <w:b/>
          <w:bCs/>
          <w:sz w:val="24"/>
          <w:szCs w:val="24"/>
        </w:rPr>
        <w:t>12</w:t>
      </w:r>
      <w:r>
        <w:rPr>
          <w:rFonts w:hint="eastAsia" w:ascii="仿宋" w:hAnsi="仿宋"/>
          <w:b/>
          <w:bCs/>
          <w:sz w:val="24"/>
          <w:szCs w:val="24"/>
        </w:rPr>
        <w:t>：持续建立健全生态文明制度体系专项行动</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tcPr>
          <w:p>
            <w:pPr>
              <w:ind w:firstLine="602" w:firstLineChars="200"/>
              <w:rPr>
                <w:color w:val="333333"/>
              </w:rPr>
            </w:pPr>
            <w:r>
              <w:rPr>
                <w:rFonts w:hint="eastAsia"/>
                <w:b/>
                <w:bCs/>
                <w:color w:val="333333"/>
              </w:rPr>
              <w:t>巩固提升生态文明制度。</w:t>
            </w:r>
            <w:r>
              <w:rPr>
                <w:rFonts w:hint="eastAsia"/>
                <w:color w:val="333333"/>
              </w:rPr>
              <w:t>贯彻落实主体功能区制度，国土空间用途管制制度，生态环境分区管控制度，资源总量管理和全面节约制度，政策环评、规划环评、项目环评、排污许可等环境准入制度，“河湖长制”等生态环境保护监督检查制度，生态文明绩效评价考核和责任追究制度。</w:t>
            </w:r>
          </w:p>
          <w:p>
            <w:pPr>
              <w:ind w:firstLine="602" w:firstLineChars="200"/>
              <w:rPr>
                <w:color w:val="333333"/>
              </w:rPr>
            </w:pPr>
            <w:r>
              <w:rPr>
                <w:rFonts w:hint="eastAsia"/>
                <w:b/>
                <w:bCs/>
                <w:color w:val="333333"/>
              </w:rPr>
              <w:t>深化体制改革试点成果。</w:t>
            </w:r>
            <w:r>
              <w:rPr>
                <w:rFonts w:hint="eastAsia"/>
                <w:color w:val="333333"/>
              </w:rPr>
              <w:t>在“十三五”时期生态文明体制改革试点成果基础上，着力落实自然资源统一确权登记制度、自然资源资产产权监管制度，加快完善生态产品价值评价与核算机制。建立覆盖森林、流域、海洋、湿地等全系统的生态补偿与赔偿制度体系。不断完善“污染者付费</w:t>
            </w:r>
            <w:r>
              <w:rPr>
                <w:color w:val="333333"/>
              </w:rPr>
              <w:t>+第三方治理”</w:t>
            </w:r>
            <w:r>
              <w:rPr>
                <w:rFonts w:hint="eastAsia"/>
                <w:color w:val="333333"/>
              </w:rPr>
              <w:t>的市场化</w:t>
            </w:r>
            <w:r>
              <w:rPr>
                <w:color w:val="333333"/>
              </w:rPr>
              <w:t>机制</w:t>
            </w:r>
            <w:r>
              <w:rPr>
                <w:rFonts w:hint="eastAsia"/>
                <w:color w:val="333333"/>
              </w:rPr>
              <w:t>，驱动绿色转型发展。</w:t>
            </w:r>
          </w:p>
          <w:p>
            <w:pPr>
              <w:ind w:firstLine="602" w:firstLineChars="200"/>
              <w:rPr>
                <w:color w:val="333333"/>
              </w:rPr>
            </w:pPr>
            <w:r>
              <w:rPr>
                <w:rFonts w:hint="eastAsia"/>
                <w:b/>
                <w:bCs/>
                <w:color w:val="333333"/>
              </w:rPr>
              <w:t>加大重点领域体制机制创新力度。</w:t>
            </w:r>
            <w:r>
              <w:rPr>
                <w:rFonts w:hint="eastAsia"/>
                <w:color w:val="333333"/>
              </w:rPr>
              <w:t>围绕生态产品价值实现、生态文明信用体系、生态环境治理标准体系等重点领域，聚焦生态产品价值实现机制、企业和居民生态文明信用评价机制创新，探索制定近岸海域、排污口、固体废物等地方标准。加快形成一批具有全国推广意义的创新成果，探索建立具有先进性、系统性优势的生态产品价格管理、生态文明信用管理和生态文明建设标准制度体系。</w:t>
            </w:r>
          </w:p>
          <w:p>
            <w:pPr>
              <w:ind w:firstLine="602" w:firstLineChars="200"/>
              <w:rPr>
                <w:color w:val="333333"/>
              </w:rPr>
            </w:pPr>
            <w:r>
              <w:rPr>
                <w:rFonts w:hint="eastAsia"/>
                <w:b/>
                <w:bCs/>
                <w:color w:val="333333"/>
              </w:rPr>
              <w:t>持续强化关联制度衔接。</w:t>
            </w:r>
            <w:r>
              <w:rPr>
                <w:rFonts w:hint="eastAsia"/>
                <w:color w:val="333333"/>
              </w:rPr>
              <w:t>加强“三线一单”生态环境分区管控体系与国土空间规划、产业准入负面清单、资源能源等相关工作衔接。推进生态环境分区管控制度与规划环评、项目环评制度衔接。推进环评审批和排污许可制度联动、生产者责任延伸评价制度、企业信用信息制度衔接。</w:t>
            </w:r>
          </w:p>
        </w:tc>
      </w:tr>
    </w:tbl>
    <w:p>
      <w:pPr>
        <w:pStyle w:val="2"/>
        <w:spacing w:line="360" w:lineRule="auto"/>
        <w:rPr>
          <w:rFonts w:cs="Arial"/>
          <w:szCs w:val="21"/>
        </w:rPr>
      </w:pPr>
      <w:bookmarkStart w:id="24" w:name="_Toc83204024"/>
      <w:r>
        <w:rPr>
          <w:rFonts w:hint="eastAsia" w:cs="Arial"/>
          <w:szCs w:val="21"/>
        </w:rPr>
        <w:t>第四章  保障措施</w:t>
      </w:r>
      <w:bookmarkEnd w:id="24"/>
    </w:p>
    <w:p>
      <w:pPr>
        <w:pStyle w:val="3"/>
      </w:pPr>
      <w:bookmarkStart w:id="25" w:name="_Toc83204025"/>
      <w:bookmarkStart w:id="26" w:name="_Toc80693333"/>
      <w:r>
        <w:rPr>
          <w:rFonts w:hint="eastAsia"/>
        </w:rPr>
        <w:t>第一节  强化组织领导</w:t>
      </w:r>
      <w:bookmarkEnd w:id="25"/>
      <w:bookmarkEnd w:id="26"/>
    </w:p>
    <w:p>
      <w:pPr>
        <w:ind w:firstLine="600"/>
      </w:pPr>
      <w:r>
        <w:rPr>
          <w:rFonts w:hint="eastAsia"/>
        </w:rPr>
        <w:t>发挥好厦门市加快推进国家生态文明试验区建设领导小组和生态文明建设领导小组的作用，加强统筹协调，</w:t>
      </w:r>
      <w:r>
        <w:rPr>
          <w:rFonts w:hint="eastAsia" w:ascii="仿宋" w:hAnsi="仿宋"/>
          <w:szCs w:val="30"/>
        </w:rPr>
        <w:t>定期研判重大政策与发展形势，健全决策咨询机制，严格落实生态环境保护 “党政同责、一岗双责”制度</w:t>
      </w:r>
      <w:r>
        <w:rPr>
          <w:rFonts w:hint="eastAsia"/>
        </w:rPr>
        <w:t>。各区区委、区政府、有关市直部门要坚决扛起生态文明建设政治责任，坚持目标导向，紧盯任务分工与时限要求，制定工作方案，完善工作协调机制，狠抓工作落实，确保各项任务顺利完成。</w:t>
      </w:r>
    </w:p>
    <w:p>
      <w:pPr>
        <w:pStyle w:val="3"/>
      </w:pPr>
      <w:bookmarkStart w:id="27" w:name="_Toc83204026"/>
      <w:bookmarkStart w:id="28" w:name="_Toc80693334"/>
      <w:r>
        <w:rPr>
          <w:rFonts w:hint="eastAsia"/>
        </w:rPr>
        <w:t>第二节  加强资金投入</w:t>
      </w:r>
      <w:bookmarkEnd w:id="27"/>
      <w:bookmarkEnd w:id="28"/>
    </w:p>
    <w:p>
      <w:pPr>
        <w:ind w:firstLine="600" w:firstLineChars="200"/>
      </w:pPr>
      <w:r>
        <w:rPr>
          <w:rFonts w:hint="eastAsia"/>
        </w:rPr>
        <w:t>加强生态建设资金投入保障，各区政府应将每年生态文明建设资金需求列入年度财政预算，有效发挥财政资金撬动作用。充分利用国家绿色金融政策，拓宽绿色金融产品创新，鼓励社会资金投向生态文明建设重点领域，以多元化投融资方式推动生态文明建设。</w:t>
      </w:r>
    </w:p>
    <w:p>
      <w:pPr>
        <w:pStyle w:val="3"/>
      </w:pPr>
      <w:bookmarkStart w:id="29" w:name="_Toc83204027"/>
      <w:bookmarkStart w:id="30" w:name="_Toc80693335"/>
      <w:r>
        <w:rPr>
          <w:rFonts w:hint="eastAsia"/>
        </w:rPr>
        <w:t>第三节  落实跟踪评估</w:t>
      </w:r>
      <w:bookmarkEnd w:id="29"/>
      <w:bookmarkEnd w:id="30"/>
    </w:p>
    <w:p>
      <w:pPr>
        <w:ind w:firstLine="600" w:firstLineChars="200"/>
      </w:pPr>
      <w:r>
        <w:rPr>
          <w:rFonts w:hint="eastAsia"/>
        </w:rPr>
        <w:t>开展好指标和重点任务的跟踪评估工作。将规划主要指标纳入</w:t>
      </w:r>
      <w:r>
        <w:rPr>
          <w:rFonts w:hint="eastAsia" w:ascii="仿宋" w:hAnsi="仿宋"/>
          <w:szCs w:val="30"/>
        </w:rPr>
        <w:t>年度党政领导生态文明建设目标责任考核，完善生态文明建设、生态环保目标和污染防治攻坚战成效“三合一”考核机制，强化生态文明建设过程评估、结果评估，指引和督促各部门顺利实现各项建设目标。</w:t>
      </w:r>
    </w:p>
    <w:p>
      <w:pPr>
        <w:pStyle w:val="3"/>
      </w:pPr>
      <w:bookmarkStart w:id="31" w:name="_Toc83204028"/>
      <w:bookmarkStart w:id="32" w:name="_Toc80693336"/>
      <w:r>
        <w:rPr>
          <w:rFonts w:hint="eastAsia"/>
        </w:rPr>
        <w:t>第四节  注重宣传引导</w:t>
      </w:r>
      <w:bookmarkEnd w:id="31"/>
      <w:bookmarkEnd w:id="32"/>
    </w:p>
    <w:p>
      <w:pPr>
        <w:ind w:firstLine="600"/>
      </w:pPr>
      <w:r>
        <w:rPr>
          <w:rFonts w:hint="eastAsia"/>
        </w:rPr>
        <w:t>开展形式多样的规划及实施情况宣传，通过报纸、电视、网络等多种途径，定期公开生态文明建设内容，畅通信息渠道，提升宣传影响力。完善社会共建机制，有关部门应多邀请市民参与生态文明建设相关座谈会、听证会，并将公众合理建议融合于生态文明建设中。深入挖掘、提炼厦门生态文明建设典型经验与创新成果，加大宣传推广力度，持续扩大示范效应，树立厦门市生态文明建设典范城市的美好形象。</w:t>
      </w:r>
    </w:p>
    <w:p>
      <w:pPr>
        <w:ind w:firstLine="600"/>
      </w:pPr>
    </w:p>
    <w:p>
      <w:pPr>
        <w:ind w:firstLine="600" w:firstLineChars="200"/>
      </w:pPr>
      <w:r>
        <w:br w:type="page"/>
      </w:r>
    </w:p>
    <w:p>
      <w:pPr>
        <w:rPr>
          <w:rFonts w:ascii="黑体" w:hAnsi="黑体" w:eastAsia="黑体"/>
          <w:b/>
          <w:bCs/>
        </w:rPr>
      </w:pPr>
      <w:r>
        <w:rPr>
          <w:rFonts w:hint="eastAsia" w:ascii="黑体" w:hAnsi="黑体" w:eastAsia="黑体"/>
          <w:b/>
          <w:bCs/>
        </w:rPr>
        <w:t>附件1</w:t>
      </w:r>
    </w:p>
    <w:p>
      <w:pPr>
        <w:pStyle w:val="2"/>
        <w:spacing w:line="360" w:lineRule="auto"/>
        <w:rPr>
          <w:szCs w:val="22"/>
        </w:rPr>
      </w:pPr>
      <w:bookmarkStart w:id="33" w:name="_Toc83204029"/>
      <w:r>
        <w:rPr>
          <w:rFonts w:hint="eastAsia" w:cs="Arial"/>
          <w:szCs w:val="21"/>
        </w:rPr>
        <w:t>名词解释</w:t>
      </w:r>
      <w:bookmarkEnd w:id="33"/>
    </w:p>
    <w:p>
      <w:pPr>
        <w:widowControl/>
        <w:ind w:firstLine="596" w:firstLineChars="198"/>
        <w:jc w:val="left"/>
        <w:rPr>
          <w:rFonts w:ascii="仿宋_GB2312" w:eastAsia="仿宋_GB2312"/>
        </w:rPr>
      </w:pPr>
      <w:r>
        <w:rPr>
          <w:rFonts w:ascii="仿宋_GB2312" w:eastAsia="仿宋_GB2312"/>
          <w:b/>
          <w:bCs/>
        </w:rPr>
        <w:t>1. “五融入”（第一章第一节）。</w:t>
      </w:r>
      <w:r>
        <w:rPr>
          <w:rFonts w:hint="eastAsia" w:ascii="仿宋_GB2312" w:eastAsia="仿宋_GB2312"/>
        </w:rPr>
        <w:t>指厦门市探索形成的融入育人体系、融入课程实施、融入实践活动、融入环境建设、融入家庭教育的“五融入”生态环境创新教育模式。</w:t>
      </w:r>
    </w:p>
    <w:p>
      <w:pPr>
        <w:widowControl/>
        <w:ind w:firstLine="596" w:firstLineChars="198"/>
        <w:jc w:val="left"/>
        <w:rPr>
          <w:rFonts w:ascii="仿宋_GB2312" w:eastAsia="仿宋_GB2312"/>
        </w:rPr>
      </w:pPr>
      <w:r>
        <w:rPr>
          <w:rFonts w:ascii="仿宋_GB2312" w:eastAsia="仿宋_GB2312"/>
          <w:b/>
          <w:bCs/>
        </w:rPr>
        <w:t>2. “多规合一”（第一章第一节）。</w:t>
      </w:r>
      <w:r>
        <w:rPr>
          <w:rFonts w:hint="eastAsia" w:ascii="仿宋_GB2312" w:eastAsia="仿宋_GB2312"/>
        </w:rPr>
        <w:t>指强化国民经济和社会发展规划、城乡规划、土地利用规划、环境保护、文物保护、林地与耕地保护、综合交通、水资源、文化与生态旅游资源、社会事业规划等各类规划的衔接，确保“多规”确定的保护性空间、开发边界、城市规模等重要空间参数一致，并在统一的空间信息平台上建立控制线体系，以实现优化空间布局、有效配置土地资源、提高政府空间管控水平和治理能力的目标。</w:t>
      </w:r>
    </w:p>
    <w:p>
      <w:pPr>
        <w:widowControl/>
        <w:ind w:firstLine="596" w:firstLineChars="198"/>
        <w:jc w:val="left"/>
        <w:rPr>
          <w:rFonts w:ascii="仿宋_GB2312" w:eastAsia="仿宋_GB2312"/>
        </w:rPr>
      </w:pPr>
      <w:r>
        <w:rPr>
          <w:rFonts w:ascii="仿宋_GB2312" w:eastAsia="仿宋_GB2312"/>
          <w:b/>
          <w:bCs/>
        </w:rPr>
        <w:t>3. “一核多元”（第一章第一节）。</w:t>
      </w:r>
      <w:r>
        <w:rPr>
          <w:rFonts w:hint="eastAsia" w:ascii="仿宋_GB2312" w:eastAsia="仿宋_GB2312"/>
        </w:rPr>
        <w:t>指以社区党组织为治理核心，以社区自治为前提，政府、社区、企业、居民等多方交流、多元参与的社区治理工作机制。</w:t>
      </w:r>
    </w:p>
    <w:p>
      <w:pPr>
        <w:widowControl/>
        <w:ind w:firstLine="596" w:firstLineChars="198"/>
        <w:jc w:val="left"/>
        <w:rPr>
          <w:rFonts w:ascii="仿宋_GB2312" w:hAnsi="黑体" w:eastAsia="仿宋_GB2312"/>
        </w:rPr>
      </w:pPr>
      <w:r>
        <w:rPr>
          <w:rFonts w:ascii="仿宋_GB2312" w:eastAsia="仿宋_GB2312"/>
          <w:b/>
          <w:bCs/>
        </w:rPr>
        <w:t xml:space="preserve">4. </w:t>
      </w:r>
      <w:r>
        <w:rPr>
          <w:rFonts w:hint="eastAsia" w:ascii="仿宋_GB2312" w:hAnsi="黑体" w:eastAsia="仿宋_GB2312"/>
          <w:b/>
          <w:bCs/>
        </w:rPr>
        <w:t>“两高两化”（第一章第二节）。</w:t>
      </w:r>
      <w:r>
        <w:rPr>
          <w:rFonts w:ascii="仿宋_GB2312" w:hAnsi="黑体" w:eastAsia="仿宋_GB2312"/>
        </w:rPr>
        <w:t>指厦门将全方位推动高质量发展超越、更高水平建设高素质高颜值现代化国际化城市。</w:t>
      </w:r>
    </w:p>
    <w:p>
      <w:pPr>
        <w:widowControl/>
        <w:ind w:firstLine="596" w:firstLineChars="198"/>
        <w:jc w:val="left"/>
        <w:rPr>
          <w:rFonts w:ascii="仿宋_GB2312" w:hAnsi="仿宋" w:eastAsia="仿宋_GB2312"/>
        </w:rPr>
      </w:pPr>
      <w:r>
        <w:rPr>
          <w:rFonts w:hint="eastAsia" w:ascii="仿宋_GB2312" w:eastAsia="仿宋_GB2312"/>
          <w:b/>
          <w:bCs/>
        </w:rPr>
        <w:t>5</w:t>
      </w:r>
      <w:r>
        <w:rPr>
          <w:rFonts w:ascii="仿宋_GB2312" w:hAnsi="仿宋" w:eastAsia="仿宋_GB2312"/>
          <w:b/>
          <w:bCs/>
        </w:rPr>
        <w:t>. “绿色产业”（第</w:t>
      </w:r>
      <w:r>
        <w:rPr>
          <w:rFonts w:hint="eastAsia" w:ascii="仿宋_GB2312" w:hAnsi="仿宋" w:eastAsia="仿宋_GB2312"/>
          <w:b/>
          <w:bCs/>
        </w:rPr>
        <w:t>二</w:t>
      </w:r>
      <w:r>
        <w:rPr>
          <w:rFonts w:ascii="仿宋_GB2312" w:hAnsi="仿宋" w:eastAsia="仿宋_GB2312"/>
          <w:b/>
          <w:bCs/>
        </w:rPr>
        <w:t>章第</w:t>
      </w:r>
      <w:r>
        <w:rPr>
          <w:rFonts w:hint="eastAsia" w:ascii="仿宋_GB2312" w:hAnsi="仿宋" w:eastAsia="仿宋_GB2312"/>
          <w:b/>
          <w:bCs/>
        </w:rPr>
        <w:t>三</w:t>
      </w:r>
      <w:r>
        <w:rPr>
          <w:rFonts w:ascii="仿宋_GB2312" w:hAnsi="仿宋" w:eastAsia="仿宋_GB2312"/>
          <w:b/>
          <w:bCs/>
        </w:rPr>
        <w:t>节）</w:t>
      </w:r>
      <w:r>
        <w:rPr>
          <w:rFonts w:hint="eastAsia" w:ascii="仿宋_GB2312" w:hAnsi="仿宋" w:eastAsia="仿宋_GB2312"/>
        </w:rPr>
        <w:t>。“绿色产业”是指积极采用清洁生产技术，采用无害或低害的新工艺、新技术，大力降低原材料和能源消耗，实现少投入、高产出、低污染，尽可能把对环境污染物的排放消除在生产过程之中的产业，产业范围详见国家发改委发布的《绿色产业指导目录（</w:t>
      </w:r>
      <w:r>
        <w:rPr>
          <w:rFonts w:ascii="仿宋_GB2312" w:hAnsi="仿宋" w:eastAsia="仿宋_GB2312"/>
        </w:rPr>
        <w:t>2019年版）》（发改环资〔2019〕293号）。</w:t>
      </w:r>
    </w:p>
    <w:p>
      <w:pPr>
        <w:widowControl/>
        <w:ind w:firstLine="596" w:firstLineChars="198"/>
        <w:jc w:val="left"/>
        <w:rPr>
          <w:rFonts w:ascii="仿宋_GB2312" w:eastAsia="仿宋_GB2312"/>
        </w:rPr>
      </w:pPr>
      <w:r>
        <w:rPr>
          <w:rFonts w:hint="eastAsia" w:ascii="仿宋_GB2312" w:eastAsia="仿宋_GB2312"/>
          <w:b/>
          <w:bCs/>
        </w:rPr>
        <w:t>6</w:t>
      </w:r>
      <w:r>
        <w:rPr>
          <w:rFonts w:ascii="仿宋_GB2312" w:eastAsia="仿宋_GB2312"/>
          <w:b/>
          <w:bCs/>
        </w:rPr>
        <w:t>. “一</w:t>
      </w:r>
      <w:r>
        <w:rPr>
          <w:rFonts w:hint="eastAsia" w:ascii="仿宋_GB2312" w:eastAsia="仿宋_GB2312"/>
          <w:b/>
          <w:bCs/>
        </w:rPr>
        <w:t>高</w:t>
      </w:r>
      <w:r>
        <w:rPr>
          <w:rFonts w:ascii="仿宋_GB2312" w:eastAsia="仿宋_GB2312"/>
          <w:b/>
          <w:bCs/>
        </w:rPr>
        <w:t>三带”（第三章第二节）。</w:t>
      </w:r>
      <w:r>
        <w:rPr>
          <w:rFonts w:hint="eastAsia" w:ascii="仿宋_GB2312" w:eastAsia="仿宋_GB2312"/>
        </w:rPr>
        <w:t>“一高”指高端产业集聚区，“三带”指“环湾现代服务业培育带”“中部先进制造业聚合带”“北部现代农业及生态旅游培育带”。</w:t>
      </w:r>
    </w:p>
    <w:p>
      <w:pPr>
        <w:widowControl/>
        <w:ind w:firstLine="594" w:firstLineChars="198"/>
        <w:jc w:val="left"/>
        <w:rPr>
          <w:rFonts w:ascii="仿宋_GB2312" w:hAnsi="仿宋" w:eastAsia="仿宋_GB2312"/>
        </w:rPr>
      </w:pPr>
    </w:p>
    <w:p>
      <w:pPr>
        <w:widowControl/>
        <w:ind w:firstLine="596" w:firstLineChars="198"/>
        <w:jc w:val="left"/>
        <w:rPr>
          <w:rFonts w:ascii="仿宋_GB2312" w:hAnsi="仿宋" w:eastAsia="仿宋_GB2312"/>
        </w:rPr>
      </w:pPr>
      <w:r>
        <w:rPr>
          <w:rFonts w:ascii="仿宋_GB2312" w:hAnsi="仿宋" w:eastAsia="仿宋_GB2312"/>
          <w:b/>
          <w:bCs/>
        </w:rPr>
        <w:t>7. “两山</w:t>
      </w:r>
      <w:r>
        <w:rPr>
          <w:rFonts w:hint="eastAsia" w:ascii="仿宋_GB2312" w:hAnsi="仿宋" w:eastAsia="仿宋_GB2312"/>
          <w:b/>
          <w:bCs/>
        </w:rPr>
        <w:t>”</w:t>
      </w:r>
      <w:r>
        <w:rPr>
          <w:rFonts w:ascii="仿宋_GB2312" w:hAnsi="仿宋" w:eastAsia="仿宋_GB2312"/>
          <w:b/>
          <w:bCs/>
        </w:rPr>
        <w:t>基地（第三章第二节）</w:t>
      </w:r>
      <w:r>
        <w:rPr>
          <w:rFonts w:hint="eastAsia" w:ascii="仿宋_GB2312" w:hAnsi="仿宋" w:eastAsia="仿宋_GB2312"/>
        </w:rPr>
        <w:t>。</w:t>
      </w:r>
      <w:r>
        <w:rPr>
          <w:rFonts w:ascii="仿宋_GB2312" w:hAnsi="仿宋" w:eastAsia="仿宋_GB2312"/>
        </w:rPr>
        <w:t>2019年生态环境部印发《“绿水青山就是金山银山”实践创新基地建设管理规程（试行）》，鼓励市、县人民政府及其他建设主体开展“绿水青山就是金山银山”实践创新基地建设，探索绿水青山转化为金山银山的有效路径和模式。</w:t>
      </w:r>
    </w:p>
    <w:p>
      <w:pPr>
        <w:widowControl/>
        <w:ind w:firstLine="596" w:firstLineChars="198"/>
        <w:jc w:val="left"/>
        <w:rPr>
          <w:rFonts w:ascii="仿宋_GB2312" w:eastAsia="仿宋_GB2312"/>
          <w:b/>
          <w:bCs/>
        </w:rPr>
      </w:pPr>
      <w:r>
        <w:rPr>
          <w:rFonts w:hint="eastAsia" w:ascii="仿宋_GB2312" w:eastAsia="仿宋_GB2312"/>
          <w:b/>
          <w:bCs/>
        </w:rPr>
        <w:t>8</w:t>
      </w:r>
      <w:r>
        <w:rPr>
          <w:rFonts w:ascii="仿宋_GB2312" w:eastAsia="仿宋_GB2312"/>
          <w:b/>
          <w:bCs/>
        </w:rPr>
        <w:t>. VOCs（第三章第三节）。</w:t>
      </w:r>
      <w:r>
        <w:rPr>
          <w:rFonts w:hint="eastAsia" w:ascii="仿宋_GB2312" w:eastAsia="仿宋_GB2312"/>
        </w:rPr>
        <w:t>英文“</w:t>
      </w:r>
      <w:r>
        <w:rPr>
          <w:rFonts w:ascii="仿宋_GB2312" w:eastAsia="仿宋_GB2312"/>
        </w:rPr>
        <w:t>Volatile Organic Compounds”的缩写。通常指常温下饱和蒸汽压大于70 Pa、常压下沸点在260℃以下的有机化合物，或在20℃条件下，蒸汽压大于或者等于10 Pa且具有挥发性的全部有机化合物。</w:t>
      </w:r>
    </w:p>
    <w:p>
      <w:pPr>
        <w:widowControl/>
        <w:ind w:firstLine="596" w:firstLineChars="198"/>
        <w:jc w:val="left"/>
        <w:rPr>
          <w:rFonts w:ascii="仿宋_GB2312" w:eastAsia="仿宋_GB2312"/>
        </w:rPr>
      </w:pPr>
      <w:r>
        <w:rPr>
          <w:rFonts w:hint="eastAsia" w:ascii="仿宋_GB2312" w:eastAsia="仿宋_GB2312"/>
          <w:b/>
          <w:bCs/>
        </w:rPr>
        <w:t>9</w:t>
      </w:r>
      <w:r>
        <w:rPr>
          <w:rFonts w:ascii="仿宋_GB2312" w:eastAsia="仿宋_GB2312"/>
          <w:b/>
          <w:bCs/>
        </w:rPr>
        <w:t>. “三个一百”工程（第三章第三节）</w:t>
      </w:r>
      <w:r>
        <w:rPr>
          <w:rFonts w:hint="eastAsia" w:ascii="仿宋_GB2312" w:eastAsia="仿宋_GB2312"/>
        </w:rPr>
        <w:t>。指厦门市提出的污水处理能力提升专项工程，即</w:t>
      </w:r>
      <w:r>
        <w:rPr>
          <w:rFonts w:ascii="仿宋_GB2312" w:eastAsia="仿宋_GB2312"/>
        </w:rPr>
        <w:t>2019年至2022年，实现投入100亿元，每年新建100公里污水管道，新增100万吨污水处理能力。</w:t>
      </w:r>
    </w:p>
    <w:p>
      <w:pPr>
        <w:widowControl/>
        <w:ind w:firstLine="594" w:firstLineChars="198"/>
        <w:jc w:val="left"/>
        <w:rPr>
          <w:rFonts w:ascii="仿宋_GB2312" w:eastAsia="仿宋_GB2312"/>
        </w:rPr>
      </w:pPr>
    </w:p>
    <w:p>
      <w:pPr>
        <w:widowControl/>
        <w:ind w:firstLine="596" w:firstLineChars="198"/>
        <w:jc w:val="left"/>
        <w:rPr>
          <w:rFonts w:ascii="仿宋_GB2312" w:eastAsia="仿宋_GB2312"/>
        </w:rPr>
      </w:pPr>
      <w:r>
        <w:rPr>
          <w:rFonts w:ascii="仿宋_GB2312" w:eastAsia="仿宋_GB2312"/>
          <w:b/>
          <w:bCs/>
        </w:rPr>
        <w:t>10. “两网融合”（第三章第三节）。</w:t>
      </w:r>
      <w:r>
        <w:rPr>
          <w:rFonts w:hint="eastAsia" w:ascii="仿宋_GB2312" w:eastAsia="仿宋_GB2312"/>
        </w:rPr>
        <w:t>指城市环卫系统与再生资源系统两个网络有效衔接、融合发展，其目的是实现垃圾分类后的减量化和资源化。</w:t>
      </w:r>
    </w:p>
    <w:p>
      <w:pPr>
        <w:widowControl/>
        <w:ind w:firstLine="596" w:firstLineChars="198"/>
        <w:jc w:val="left"/>
        <w:rPr>
          <w:rFonts w:ascii="仿宋_GB2312" w:eastAsia="仿宋_GB2312"/>
        </w:rPr>
      </w:pPr>
      <w:r>
        <w:rPr>
          <w:rFonts w:ascii="仿宋_GB2312" w:eastAsia="仿宋_GB2312"/>
          <w:b/>
          <w:bCs/>
        </w:rPr>
        <w:t>11. “一革命四行动”（第三章第三节）。</w:t>
      </w:r>
      <w:r>
        <w:rPr>
          <w:rFonts w:hint="eastAsia" w:ascii="仿宋_GB2312" w:eastAsia="仿宋_GB2312"/>
        </w:rPr>
        <w:t>指</w:t>
      </w:r>
      <w:r>
        <w:rPr>
          <w:rFonts w:hint="eastAsia" w:ascii="仿宋_GB2312" w:eastAsia="仿宋_GB2312"/>
          <w:color w:val="333333"/>
          <w:shd w:val="clear" w:color="auto" w:fill="FFFFFF"/>
        </w:rPr>
        <w:t>农村“厕所革命”、农村垃圾治理行动、农村污水治理行动、农房整治行动、村容村貌提升行动。</w:t>
      </w:r>
    </w:p>
    <w:p>
      <w:pPr>
        <w:widowControl/>
        <w:ind w:firstLine="596" w:firstLineChars="198"/>
        <w:jc w:val="left"/>
        <w:rPr>
          <w:rFonts w:ascii="仿宋_GB2312" w:eastAsia="仿宋_GB2312"/>
        </w:rPr>
      </w:pPr>
      <w:r>
        <w:rPr>
          <w:rFonts w:ascii="仿宋_GB2312" w:eastAsia="仿宋_GB2312"/>
          <w:b/>
          <w:bCs/>
        </w:rPr>
        <w:t>12. “限塑令”（第三章第四节）。</w:t>
      </w:r>
      <w:r>
        <w:rPr>
          <w:rFonts w:ascii="仿宋_GB2312" w:eastAsia="仿宋_GB2312"/>
        </w:rPr>
        <w:t>指2007年12月31日，国务院办公厅发布《国务院办公厅关于限制生产销售使用塑料购物袋的通知》，其目的是限制和减少塑料袋的使用，遏制“白色污染”。</w:t>
      </w:r>
    </w:p>
    <w:p>
      <w:pPr>
        <w:tabs>
          <w:tab w:val="center" w:pos="4977"/>
        </w:tabs>
        <w:spacing w:line="240" w:lineRule="auto"/>
      </w:pPr>
    </w:p>
    <w:sectPr>
      <w:headerReference r:id="rId9" w:type="default"/>
      <w:footerReference r:id="rId10" w:type="default"/>
      <w:footnotePr>
        <w:numRestart w:val="eachPage"/>
      </w:footnotePr>
      <w:pgSz w:w="11906" w:h="16838"/>
      <w:pgMar w:top="1418" w:right="1134" w:bottom="1134" w:left="1418" w:header="397" w:footer="680" w:gutter="0"/>
      <w:pgNumType w:start="1"/>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roman"/>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PingFang SC">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Arial" w:hAnsi="Arial" w:cs="Arial"/>
      </w:rP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1"/>
                  <w:jc w:val="center"/>
                </w:pPr>
                <w:r>
                  <w:rPr>
                    <w:rFonts w:hint="eastAsia" w:ascii="Arial" w:hAnsi="Arial" w:cs="Arial"/>
                  </w:rPr>
                  <w:t>第</w:t>
                </w:r>
                <w:r>
                  <w:rPr>
                    <w:rFonts w:ascii="Arial" w:hAnsi="Arial" w:cs="Arial"/>
                    <w:bCs/>
                  </w:rPr>
                  <w:fldChar w:fldCharType="begin"/>
                </w:r>
                <w:r>
                  <w:rPr>
                    <w:rFonts w:ascii="Arial" w:hAnsi="Arial" w:cs="Arial"/>
                    <w:bCs/>
                  </w:rPr>
                  <w:instrText xml:space="preserve">PAGE</w:instrText>
                </w:r>
                <w:r>
                  <w:rPr>
                    <w:rFonts w:ascii="Arial" w:hAnsi="Arial" w:cs="Arial"/>
                    <w:bCs/>
                  </w:rPr>
                  <w:fldChar w:fldCharType="separate"/>
                </w:r>
                <w:r>
                  <w:rPr>
                    <w:rFonts w:ascii="Arial" w:hAnsi="Arial" w:cs="Arial"/>
                    <w:bCs/>
                  </w:rPr>
                  <w:t>53</w:t>
                </w:r>
                <w:r>
                  <w:rPr>
                    <w:rFonts w:ascii="Arial" w:hAnsi="Arial" w:cs="Arial"/>
                    <w:bCs/>
                  </w:rPr>
                  <w:fldChar w:fldCharType="end"/>
                </w:r>
                <w:r>
                  <w:rPr>
                    <w:rFonts w:hint="eastAsia" w:ascii="Arial" w:hAnsi="Arial" w:cs="Arial"/>
                    <w:bCs/>
                  </w:rPr>
                  <w:t>页</w:t>
                </w:r>
                <w:r>
                  <w:rPr>
                    <w:rFonts w:ascii="Arial" w:hAnsi="Arial" w:cs="Arial"/>
                  </w:rPr>
                  <w:t xml:space="preserve"> / </w:t>
                </w:r>
                <w:r>
                  <w:fldChar w:fldCharType="begin"/>
                </w:r>
                <w:r>
                  <w:instrText xml:space="preserve"> SECTIONPAGES \* MERGEFORMAT </w:instrText>
                </w:r>
                <w:r>
                  <w:fldChar w:fldCharType="separate"/>
                </w:r>
                <w:r>
                  <w:rPr>
                    <w:rFonts w:ascii="Arial" w:hAnsi="Arial" w:cs="Arial"/>
                  </w:rPr>
                  <w:t>53</w:t>
                </w:r>
                <w:r>
                  <w:rPr>
                    <w:rFonts w:ascii="Arial" w:hAnsi="Arial" w:cs="Arial"/>
                  </w:rPr>
                  <w:fldChar w:fldCharType="end"/>
                </w:r>
                <w:r>
                  <w:rPr>
                    <w:rFonts w:hint="eastAsia" w:ascii="Arial" w:hAnsi="Arial" w:cs="Arial"/>
                    <w:bCs/>
                  </w:rPr>
                  <w:t>页</w:t>
                </w:r>
              </w:p>
            </w:txbxContent>
          </v:textbox>
        </v:shape>
      </w:pic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仿宋_GB2312"/>
        <w:color w:val="333333"/>
        <w:spacing w:val="10"/>
        <w:sz w:val="18"/>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仿宋_GB2312"/>
        <w:color w:val="333333"/>
        <w:spacing w:val="10"/>
        <w:sz w:val="18"/>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50"/>
  <w:drawingGridVerticalSpacing w:val="204"/>
  <w:noPunctuationKerning w:val="true"/>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NzIxNjM1NzA0NTe2NDFX0lEKTi0uzszPAykwrAUAn3HIkiwAAAA="/>
  </w:docVars>
  <w:rsids>
    <w:rsidRoot w:val="00586485"/>
    <w:rsid w:val="00001B19"/>
    <w:rsid w:val="000021A4"/>
    <w:rsid w:val="00002738"/>
    <w:rsid w:val="00002C22"/>
    <w:rsid w:val="00002DAD"/>
    <w:rsid w:val="00003126"/>
    <w:rsid w:val="00003614"/>
    <w:rsid w:val="00003818"/>
    <w:rsid w:val="000041D4"/>
    <w:rsid w:val="0000432D"/>
    <w:rsid w:val="00004B84"/>
    <w:rsid w:val="000050B2"/>
    <w:rsid w:val="00005668"/>
    <w:rsid w:val="00006FDC"/>
    <w:rsid w:val="00007E09"/>
    <w:rsid w:val="000109B4"/>
    <w:rsid w:val="0001183A"/>
    <w:rsid w:val="00012201"/>
    <w:rsid w:val="0001259C"/>
    <w:rsid w:val="000129B9"/>
    <w:rsid w:val="00012E8B"/>
    <w:rsid w:val="000141F5"/>
    <w:rsid w:val="00014286"/>
    <w:rsid w:val="0001428C"/>
    <w:rsid w:val="000142A4"/>
    <w:rsid w:val="00015168"/>
    <w:rsid w:val="00015BD6"/>
    <w:rsid w:val="00017DB3"/>
    <w:rsid w:val="00020455"/>
    <w:rsid w:val="00020FF9"/>
    <w:rsid w:val="000215DE"/>
    <w:rsid w:val="00021C3D"/>
    <w:rsid w:val="00021F6C"/>
    <w:rsid w:val="00022959"/>
    <w:rsid w:val="00023790"/>
    <w:rsid w:val="000240CB"/>
    <w:rsid w:val="000244AD"/>
    <w:rsid w:val="00024967"/>
    <w:rsid w:val="000269BC"/>
    <w:rsid w:val="00026F34"/>
    <w:rsid w:val="00027A82"/>
    <w:rsid w:val="00030B1E"/>
    <w:rsid w:val="00030D47"/>
    <w:rsid w:val="00030FCC"/>
    <w:rsid w:val="000312E8"/>
    <w:rsid w:val="000338FA"/>
    <w:rsid w:val="00034327"/>
    <w:rsid w:val="0003455A"/>
    <w:rsid w:val="000345B3"/>
    <w:rsid w:val="0003499C"/>
    <w:rsid w:val="00034F8D"/>
    <w:rsid w:val="00035151"/>
    <w:rsid w:val="00035209"/>
    <w:rsid w:val="00035B8A"/>
    <w:rsid w:val="00036952"/>
    <w:rsid w:val="00037492"/>
    <w:rsid w:val="000376E8"/>
    <w:rsid w:val="000379AC"/>
    <w:rsid w:val="000414E1"/>
    <w:rsid w:val="00041D46"/>
    <w:rsid w:val="00042886"/>
    <w:rsid w:val="00043BB7"/>
    <w:rsid w:val="00043E82"/>
    <w:rsid w:val="0004424A"/>
    <w:rsid w:val="00045B9C"/>
    <w:rsid w:val="00045C78"/>
    <w:rsid w:val="0004638D"/>
    <w:rsid w:val="000469AA"/>
    <w:rsid w:val="00046AA0"/>
    <w:rsid w:val="00047AFD"/>
    <w:rsid w:val="00047DC4"/>
    <w:rsid w:val="0005007A"/>
    <w:rsid w:val="0005059C"/>
    <w:rsid w:val="0005065B"/>
    <w:rsid w:val="0005102D"/>
    <w:rsid w:val="00052624"/>
    <w:rsid w:val="00052643"/>
    <w:rsid w:val="000526EB"/>
    <w:rsid w:val="0005279E"/>
    <w:rsid w:val="00052B41"/>
    <w:rsid w:val="00052CBD"/>
    <w:rsid w:val="00052D67"/>
    <w:rsid w:val="00053D23"/>
    <w:rsid w:val="00054B4D"/>
    <w:rsid w:val="00054F06"/>
    <w:rsid w:val="00055110"/>
    <w:rsid w:val="00055618"/>
    <w:rsid w:val="000558DB"/>
    <w:rsid w:val="0005623F"/>
    <w:rsid w:val="00060A88"/>
    <w:rsid w:val="0006178A"/>
    <w:rsid w:val="00061955"/>
    <w:rsid w:val="00061FA3"/>
    <w:rsid w:val="00062698"/>
    <w:rsid w:val="00062BBE"/>
    <w:rsid w:val="00063026"/>
    <w:rsid w:val="00063783"/>
    <w:rsid w:val="00063A4A"/>
    <w:rsid w:val="000640E2"/>
    <w:rsid w:val="000642B1"/>
    <w:rsid w:val="000644AD"/>
    <w:rsid w:val="00064764"/>
    <w:rsid w:val="00064948"/>
    <w:rsid w:val="00064A22"/>
    <w:rsid w:val="00064BC0"/>
    <w:rsid w:val="00065303"/>
    <w:rsid w:val="000656B2"/>
    <w:rsid w:val="00066A40"/>
    <w:rsid w:val="00066B2D"/>
    <w:rsid w:val="0006749D"/>
    <w:rsid w:val="000678C6"/>
    <w:rsid w:val="00067D84"/>
    <w:rsid w:val="0007126C"/>
    <w:rsid w:val="0007160D"/>
    <w:rsid w:val="000718F0"/>
    <w:rsid w:val="00071BF4"/>
    <w:rsid w:val="0007403A"/>
    <w:rsid w:val="00074280"/>
    <w:rsid w:val="000758E0"/>
    <w:rsid w:val="00075EBE"/>
    <w:rsid w:val="0007627F"/>
    <w:rsid w:val="00077090"/>
    <w:rsid w:val="0008008F"/>
    <w:rsid w:val="0008039F"/>
    <w:rsid w:val="0008075E"/>
    <w:rsid w:val="0008100C"/>
    <w:rsid w:val="000816EA"/>
    <w:rsid w:val="000817EF"/>
    <w:rsid w:val="00081BF5"/>
    <w:rsid w:val="00081C84"/>
    <w:rsid w:val="00081E95"/>
    <w:rsid w:val="0008255C"/>
    <w:rsid w:val="0008297A"/>
    <w:rsid w:val="00082B8A"/>
    <w:rsid w:val="00083A1F"/>
    <w:rsid w:val="000840CB"/>
    <w:rsid w:val="00084109"/>
    <w:rsid w:val="00084B37"/>
    <w:rsid w:val="0008506B"/>
    <w:rsid w:val="00085391"/>
    <w:rsid w:val="00085B1C"/>
    <w:rsid w:val="00085D6E"/>
    <w:rsid w:val="000863A8"/>
    <w:rsid w:val="00086B06"/>
    <w:rsid w:val="00086E0F"/>
    <w:rsid w:val="000878D4"/>
    <w:rsid w:val="00087A3A"/>
    <w:rsid w:val="00087F61"/>
    <w:rsid w:val="00090DF3"/>
    <w:rsid w:val="00091167"/>
    <w:rsid w:val="00091CFE"/>
    <w:rsid w:val="00093F89"/>
    <w:rsid w:val="00094C57"/>
    <w:rsid w:val="00094EC5"/>
    <w:rsid w:val="00095486"/>
    <w:rsid w:val="000958E0"/>
    <w:rsid w:val="00095C57"/>
    <w:rsid w:val="00096407"/>
    <w:rsid w:val="00096F2D"/>
    <w:rsid w:val="00097C05"/>
    <w:rsid w:val="00097C6D"/>
    <w:rsid w:val="00097EA5"/>
    <w:rsid w:val="000A11A4"/>
    <w:rsid w:val="000A1DB5"/>
    <w:rsid w:val="000A331F"/>
    <w:rsid w:val="000A38EC"/>
    <w:rsid w:val="000A3E98"/>
    <w:rsid w:val="000A3FB1"/>
    <w:rsid w:val="000A4BF5"/>
    <w:rsid w:val="000A5421"/>
    <w:rsid w:val="000A55E9"/>
    <w:rsid w:val="000A56A4"/>
    <w:rsid w:val="000A6B75"/>
    <w:rsid w:val="000A6C6A"/>
    <w:rsid w:val="000A741C"/>
    <w:rsid w:val="000A75A5"/>
    <w:rsid w:val="000A7AA0"/>
    <w:rsid w:val="000B06A5"/>
    <w:rsid w:val="000B0789"/>
    <w:rsid w:val="000B0975"/>
    <w:rsid w:val="000B1282"/>
    <w:rsid w:val="000B1430"/>
    <w:rsid w:val="000B1663"/>
    <w:rsid w:val="000B1A97"/>
    <w:rsid w:val="000B2C67"/>
    <w:rsid w:val="000B3014"/>
    <w:rsid w:val="000B3496"/>
    <w:rsid w:val="000B4026"/>
    <w:rsid w:val="000B434B"/>
    <w:rsid w:val="000B47CD"/>
    <w:rsid w:val="000B4EDD"/>
    <w:rsid w:val="000B508D"/>
    <w:rsid w:val="000B58DC"/>
    <w:rsid w:val="000B5CFF"/>
    <w:rsid w:val="000B5EA9"/>
    <w:rsid w:val="000B5F44"/>
    <w:rsid w:val="000B6872"/>
    <w:rsid w:val="000B6FF6"/>
    <w:rsid w:val="000B7091"/>
    <w:rsid w:val="000B78AA"/>
    <w:rsid w:val="000B7BF4"/>
    <w:rsid w:val="000C1676"/>
    <w:rsid w:val="000C258E"/>
    <w:rsid w:val="000C2712"/>
    <w:rsid w:val="000C2C87"/>
    <w:rsid w:val="000C2F73"/>
    <w:rsid w:val="000C35C4"/>
    <w:rsid w:val="000C3D89"/>
    <w:rsid w:val="000C4971"/>
    <w:rsid w:val="000C4AC9"/>
    <w:rsid w:val="000C4C14"/>
    <w:rsid w:val="000C4C87"/>
    <w:rsid w:val="000C5398"/>
    <w:rsid w:val="000C5430"/>
    <w:rsid w:val="000C54C8"/>
    <w:rsid w:val="000C5ADD"/>
    <w:rsid w:val="000C65DC"/>
    <w:rsid w:val="000C66A1"/>
    <w:rsid w:val="000C7235"/>
    <w:rsid w:val="000C7A76"/>
    <w:rsid w:val="000C7DA2"/>
    <w:rsid w:val="000D01FC"/>
    <w:rsid w:val="000D1C7A"/>
    <w:rsid w:val="000D27F9"/>
    <w:rsid w:val="000D2869"/>
    <w:rsid w:val="000D2F09"/>
    <w:rsid w:val="000D3046"/>
    <w:rsid w:val="000D3A5C"/>
    <w:rsid w:val="000D41B3"/>
    <w:rsid w:val="000D481D"/>
    <w:rsid w:val="000D563D"/>
    <w:rsid w:val="000D5D95"/>
    <w:rsid w:val="000D66BA"/>
    <w:rsid w:val="000D67E9"/>
    <w:rsid w:val="000D7268"/>
    <w:rsid w:val="000D7CA3"/>
    <w:rsid w:val="000E04DD"/>
    <w:rsid w:val="000E0DC6"/>
    <w:rsid w:val="000E12E5"/>
    <w:rsid w:val="000E1437"/>
    <w:rsid w:val="000E1693"/>
    <w:rsid w:val="000E17D2"/>
    <w:rsid w:val="000E1CAC"/>
    <w:rsid w:val="000E1F5C"/>
    <w:rsid w:val="000E27AA"/>
    <w:rsid w:val="000E2841"/>
    <w:rsid w:val="000E28DD"/>
    <w:rsid w:val="000E2982"/>
    <w:rsid w:val="000E29E9"/>
    <w:rsid w:val="000E2C54"/>
    <w:rsid w:val="000E369B"/>
    <w:rsid w:val="000E3BFD"/>
    <w:rsid w:val="000E4034"/>
    <w:rsid w:val="000E4C05"/>
    <w:rsid w:val="000E4D3E"/>
    <w:rsid w:val="000E66A9"/>
    <w:rsid w:val="000F02AF"/>
    <w:rsid w:val="000F097E"/>
    <w:rsid w:val="000F0A55"/>
    <w:rsid w:val="000F0DD6"/>
    <w:rsid w:val="000F1128"/>
    <w:rsid w:val="000F1CFB"/>
    <w:rsid w:val="000F29A6"/>
    <w:rsid w:val="000F2D85"/>
    <w:rsid w:val="000F3AEA"/>
    <w:rsid w:val="000F4BDB"/>
    <w:rsid w:val="000F51F0"/>
    <w:rsid w:val="000F523C"/>
    <w:rsid w:val="000F5827"/>
    <w:rsid w:val="000F5960"/>
    <w:rsid w:val="000F5C9E"/>
    <w:rsid w:val="000F5D53"/>
    <w:rsid w:val="000F6543"/>
    <w:rsid w:val="000F6D4D"/>
    <w:rsid w:val="000F6F87"/>
    <w:rsid w:val="000F77F6"/>
    <w:rsid w:val="000F7F6B"/>
    <w:rsid w:val="00100CF7"/>
    <w:rsid w:val="00100FEA"/>
    <w:rsid w:val="00101361"/>
    <w:rsid w:val="00101D4A"/>
    <w:rsid w:val="00102637"/>
    <w:rsid w:val="00102C18"/>
    <w:rsid w:val="00102F21"/>
    <w:rsid w:val="001031DC"/>
    <w:rsid w:val="0010345A"/>
    <w:rsid w:val="00103612"/>
    <w:rsid w:val="001038F0"/>
    <w:rsid w:val="001051EC"/>
    <w:rsid w:val="001057B8"/>
    <w:rsid w:val="0010595E"/>
    <w:rsid w:val="001059C1"/>
    <w:rsid w:val="00106215"/>
    <w:rsid w:val="00106F15"/>
    <w:rsid w:val="001072F3"/>
    <w:rsid w:val="001079A3"/>
    <w:rsid w:val="00111ED7"/>
    <w:rsid w:val="001124BF"/>
    <w:rsid w:val="0011251E"/>
    <w:rsid w:val="001125AD"/>
    <w:rsid w:val="00112C92"/>
    <w:rsid w:val="00113B63"/>
    <w:rsid w:val="001148BC"/>
    <w:rsid w:val="00114C0D"/>
    <w:rsid w:val="00115421"/>
    <w:rsid w:val="00115F05"/>
    <w:rsid w:val="00116A82"/>
    <w:rsid w:val="001175EB"/>
    <w:rsid w:val="001179AF"/>
    <w:rsid w:val="00120993"/>
    <w:rsid w:val="00120A0A"/>
    <w:rsid w:val="00121851"/>
    <w:rsid w:val="00121C59"/>
    <w:rsid w:val="00122126"/>
    <w:rsid w:val="00122437"/>
    <w:rsid w:val="00122ECD"/>
    <w:rsid w:val="00123024"/>
    <w:rsid w:val="00123C72"/>
    <w:rsid w:val="00123D21"/>
    <w:rsid w:val="001243E7"/>
    <w:rsid w:val="00124805"/>
    <w:rsid w:val="00126568"/>
    <w:rsid w:val="0012658D"/>
    <w:rsid w:val="00126E37"/>
    <w:rsid w:val="0012798F"/>
    <w:rsid w:val="0013037D"/>
    <w:rsid w:val="00130455"/>
    <w:rsid w:val="00130BC0"/>
    <w:rsid w:val="00130EEE"/>
    <w:rsid w:val="00131BE2"/>
    <w:rsid w:val="00131CBA"/>
    <w:rsid w:val="001321F2"/>
    <w:rsid w:val="00133030"/>
    <w:rsid w:val="0013365B"/>
    <w:rsid w:val="00133BDF"/>
    <w:rsid w:val="00133D55"/>
    <w:rsid w:val="00134189"/>
    <w:rsid w:val="00134A08"/>
    <w:rsid w:val="001353ED"/>
    <w:rsid w:val="00135951"/>
    <w:rsid w:val="00135E05"/>
    <w:rsid w:val="00136083"/>
    <w:rsid w:val="0013630C"/>
    <w:rsid w:val="00137C17"/>
    <w:rsid w:val="0014078E"/>
    <w:rsid w:val="001409D3"/>
    <w:rsid w:val="00140C18"/>
    <w:rsid w:val="00141846"/>
    <w:rsid w:val="00141A60"/>
    <w:rsid w:val="00141AB3"/>
    <w:rsid w:val="00141DFB"/>
    <w:rsid w:val="00142A8F"/>
    <w:rsid w:val="00143084"/>
    <w:rsid w:val="001433A1"/>
    <w:rsid w:val="00143621"/>
    <w:rsid w:val="00143C5E"/>
    <w:rsid w:val="00143F3D"/>
    <w:rsid w:val="001442C5"/>
    <w:rsid w:val="00144DDD"/>
    <w:rsid w:val="00144DE3"/>
    <w:rsid w:val="00144F3B"/>
    <w:rsid w:val="00145B58"/>
    <w:rsid w:val="00145C51"/>
    <w:rsid w:val="00146316"/>
    <w:rsid w:val="00146A10"/>
    <w:rsid w:val="0014729A"/>
    <w:rsid w:val="00147F07"/>
    <w:rsid w:val="00147F93"/>
    <w:rsid w:val="0015054A"/>
    <w:rsid w:val="00150672"/>
    <w:rsid w:val="0015069B"/>
    <w:rsid w:val="00151106"/>
    <w:rsid w:val="0015111A"/>
    <w:rsid w:val="0015187A"/>
    <w:rsid w:val="00151E69"/>
    <w:rsid w:val="0015373A"/>
    <w:rsid w:val="00153EB6"/>
    <w:rsid w:val="0015415A"/>
    <w:rsid w:val="001545D5"/>
    <w:rsid w:val="00154A7D"/>
    <w:rsid w:val="001551FE"/>
    <w:rsid w:val="0015566E"/>
    <w:rsid w:val="00156471"/>
    <w:rsid w:val="00157658"/>
    <w:rsid w:val="001577E4"/>
    <w:rsid w:val="00157E09"/>
    <w:rsid w:val="00157FC4"/>
    <w:rsid w:val="001602C8"/>
    <w:rsid w:val="00160955"/>
    <w:rsid w:val="00160A7B"/>
    <w:rsid w:val="00160DB1"/>
    <w:rsid w:val="00161106"/>
    <w:rsid w:val="00161416"/>
    <w:rsid w:val="001618BB"/>
    <w:rsid w:val="00161B93"/>
    <w:rsid w:val="00162088"/>
    <w:rsid w:val="0016261F"/>
    <w:rsid w:val="00164281"/>
    <w:rsid w:val="00164B30"/>
    <w:rsid w:val="001651FF"/>
    <w:rsid w:val="001652F5"/>
    <w:rsid w:val="001654BE"/>
    <w:rsid w:val="0016555F"/>
    <w:rsid w:val="00165627"/>
    <w:rsid w:val="00165B28"/>
    <w:rsid w:val="00166134"/>
    <w:rsid w:val="0016617E"/>
    <w:rsid w:val="00167452"/>
    <w:rsid w:val="001701F9"/>
    <w:rsid w:val="00170ABB"/>
    <w:rsid w:val="00170BC9"/>
    <w:rsid w:val="001712AA"/>
    <w:rsid w:val="00171329"/>
    <w:rsid w:val="0017207C"/>
    <w:rsid w:val="0017250A"/>
    <w:rsid w:val="00172D03"/>
    <w:rsid w:val="00173048"/>
    <w:rsid w:val="00173585"/>
    <w:rsid w:val="001736C5"/>
    <w:rsid w:val="001737FC"/>
    <w:rsid w:val="00174580"/>
    <w:rsid w:val="00174955"/>
    <w:rsid w:val="00174C6A"/>
    <w:rsid w:val="00174F4D"/>
    <w:rsid w:val="0017518F"/>
    <w:rsid w:val="00175BFC"/>
    <w:rsid w:val="00175C55"/>
    <w:rsid w:val="00176064"/>
    <w:rsid w:val="00177637"/>
    <w:rsid w:val="00180188"/>
    <w:rsid w:val="00180276"/>
    <w:rsid w:val="00180601"/>
    <w:rsid w:val="00180CE4"/>
    <w:rsid w:val="00180FB4"/>
    <w:rsid w:val="00181A25"/>
    <w:rsid w:val="00181A62"/>
    <w:rsid w:val="001829F5"/>
    <w:rsid w:val="00182DC5"/>
    <w:rsid w:val="001841B0"/>
    <w:rsid w:val="00184713"/>
    <w:rsid w:val="00184A47"/>
    <w:rsid w:val="00184C11"/>
    <w:rsid w:val="001875F4"/>
    <w:rsid w:val="001878F1"/>
    <w:rsid w:val="00187CFC"/>
    <w:rsid w:val="00187DE3"/>
    <w:rsid w:val="001903F9"/>
    <w:rsid w:val="001906FE"/>
    <w:rsid w:val="00190D65"/>
    <w:rsid w:val="001910EE"/>
    <w:rsid w:val="00191B23"/>
    <w:rsid w:val="00191BB8"/>
    <w:rsid w:val="00192337"/>
    <w:rsid w:val="00192D55"/>
    <w:rsid w:val="00193547"/>
    <w:rsid w:val="00193CAC"/>
    <w:rsid w:val="0019415E"/>
    <w:rsid w:val="0019455F"/>
    <w:rsid w:val="001948F4"/>
    <w:rsid w:val="00194A61"/>
    <w:rsid w:val="0019600E"/>
    <w:rsid w:val="0019604C"/>
    <w:rsid w:val="00196651"/>
    <w:rsid w:val="00196B77"/>
    <w:rsid w:val="00196FD4"/>
    <w:rsid w:val="00197EB0"/>
    <w:rsid w:val="001A02F9"/>
    <w:rsid w:val="001A0615"/>
    <w:rsid w:val="001A0E30"/>
    <w:rsid w:val="001A11FB"/>
    <w:rsid w:val="001A1AE5"/>
    <w:rsid w:val="001A1FFF"/>
    <w:rsid w:val="001A213A"/>
    <w:rsid w:val="001A21F5"/>
    <w:rsid w:val="001A300B"/>
    <w:rsid w:val="001A3527"/>
    <w:rsid w:val="001A3BF2"/>
    <w:rsid w:val="001A40AE"/>
    <w:rsid w:val="001A4DA1"/>
    <w:rsid w:val="001A4DCB"/>
    <w:rsid w:val="001A56EF"/>
    <w:rsid w:val="001A66F9"/>
    <w:rsid w:val="001A675D"/>
    <w:rsid w:val="001A70FC"/>
    <w:rsid w:val="001A71E8"/>
    <w:rsid w:val="001A7638"/>
    <w:rsid w:val="001A7AA6"/>
    <w:rsid w:val="001B06C9"/>
    <w:rsid w:val="001B13D1"/>
    <w:rsid w:val="001B201E"/>
    <w:rsid w:val="001B2668"/>
    <w:rsid w:val="001B31F9"/>
    <w:rsid w:val="001B388F"/>
    <w:rsid w:val="001B3BF9"/>
    <w:rsid w:val="001B4330"/>
    <w:rsid w:val="001B464C"/>
    <w:rsid w:val="001B6AEE"/>
    <w:rsid w:val="001B7150"/>
    <w:rsid w:val="001B743F"/>
    <w:rsid w:val="001B76E9"/>
    <w:rsid w:val="001B76FE"/>
    <w:rsid w:val="001B7AF9"/>
    <w:rsid w:val="001C0160"/>
    <w:rsid w:val="001C08E1"/>
    <w:rsid w:val="001C2179"/>
    <w:rsid w:val="001C29D5"/>
    <w:rsid w:val="001C2C15"/>
    <w:rsid w:val="001C3BEA"/>
    <w:rsid w:val="001C4390"/>
    <w:rsid w:val="001C4392"/>
    <w:rsid w:val="001C45A9"/>
    <w:rsid w:val="001C4B01"/>
    <w:rsid w:val="001C5656"/>
    <w:rsid w:val="001C5D49"/>
    <w:rsid w:val="001C5D65"/>
    <w:rsid w:val="001C5F1D"/>
    <w:rsid w:val="001C6843"/>
    <w:rsid w:val="001C6D8D"/>
    <w:rsid w:val="001C77ED"/>
    <w:rsid w:val="001C7A0A"/>
    <w:rsid w:val="001C7A73"/>
    <w:rsid w:val="001C7DFF"/>
    <w:rsid w:val="001D021C"/>
    <w:rsid w:val="001D0357"/>
    <w:rsid w:val="001D0859"/>
    <w:rsid w:val="001D0CCD"/>
    <w:rsid w:val="001D10DF"/>
    <w:rsid w:val="001D16CA"/>
    <w:rsid w:val="001D1C57"/>
    <w:rsid w:val="001D1F1E"/>
    <w:rsid w:val="001D259C"/>
    <w:rsid w:val="001D39D8"/>
    <w:rsid w:val="001D3D8C"/>
    <w:rsid w:val="001D3FBE"/>
    <w:rsid w:val="001D43DF"/>
    <w:rsid w:val="001D46FE"/>
    <w:rsid w:val="001D4791"/>
    <w:rsid w:val="001D509D"/>
    <w:rsid w:val="001D60F4"/>
    <w:rsid w:val="001D67B1"/>
    <w:rsid w:val="001D6801"/>
    <w:rsid w:val="001D6AFF"/>
    <w:rsid w:val="001D6F88"/>
    <w:rsid w:val="001E06AC"/>
    <w:rsid w:val="001E07C1"/>
    <w:rsid w:val="001E0CC3"/>
    <w:rsid w:val="001E0F65"/>
    <w:rsid w:val="001E1D22"/>
    <w:rsid w:val="001E2441"/>
    <w:rsid w:val="001E2683"/>
    <w:rsid w:val="001E2EB8"/>
    <w:rsid w:val="001E2F43"/>
    <w:rsid w:val="001E3132"/>
    <w:rsid w:val="001E3510"/>
    <w:rsid w:val="001E3800"/>
    <w:rsid w:val="001E3B7D"/>
    <w:rsid w:val="001E3BEA"/>
    <w:rsid w:val="001E4024"/>
    <w:rsid w:val="001E426B"/>
    <w:rsid w:val="001E441F"/>
    <w:rsid w:val="001E45E3"/>
    <w:rsid w:val="001E55C1"/>
    <w:rsid w:val="001E561F"/>
    <w:rsid w:val="001E6D75"/>
    <w:rsid w:val="001F0321"/>
    <w:rsid w:val="001F055F"/>
    <w:rsid w:val="001F0AFC"/>
    <w:rsid w:val="001F0D6E"/>
    <w:rsid w:val="001F1375"/>
    <w:rsid w:val="001F144E"/>
    <w:rsid w:val="001F198B"/>
    <w:rsid w:val="001F1A41"/>
    <w:rsid w:val="001F25D7"/>
    <w:rsid w:val="001F2E83"/>
    <w:rsid w:val="001F4EBE"/>
    <w:rsid w:val="001F5603"/>
    <w:rsid w:val="001F5C13"/>
    <w:rsid w:val="001F5FB6"/>
    <w:rsid w:val="001F61E8"/>
    <w:rsid w:val="001F6B5B"/>
    <w:rsid w:val="001F7443"/>
    <w:rsid w:val="001F74D5"/>
    <w:rsid w:val="001F7941"/>
    <w:rsid w:val="00200044"/>
    <w:rsid w:val="002009AD"/>
    <w:rsid w:val="00201170"/>
    <w:rsid w:val="00201234"/>
    <w:rsid w:val="00201907"/>
    <w:rsid w:val="00202316"/>
    <w:rsid w:val="0020231E"/>
    <w:rsid w:val="00202986"/>
    <w:rsid w:val="002039B9"/>
    <w:rsid w:val="00203E50"/>
    <w:rsid w:val="00204072"/>
    <w:rsid w:val="002045F0"/>
    <w:rsid w:val="002046F7"/>
    <w:rsid w:val="00205375"/>
    <w:rsid w:val="00205397"/>
    <w:rsid w:val="0020549C"/>
    <w:rsid w:val="002057F5"/>
    <w:rsid w:val="00205848"/>
    <w:rsid w:val="0020662E"/>
    <w:rsid w:val="00207286"/>
    <w:rsid w:val="00207287"/>
    <w:rsid w:val="002115BD"/>
    <w:rsid w:val="002119B3"/>
    <w:rsid w:val="00211A29"/>
    <w:rsid w:val="00211BC4"/>
    <w:rsid w:val="00211ED7"/>
    <w:rsid w:val="00212195"/>
    <w:rsid w:val="00212725"/>
    <w:rsid w:val="00213E03"/>
    <w:rsid w:val="002143FD"/>
    <w:rsid w:val="00214B5C"/>
    <w:rsid w:val="00214DA9"/>
    <w:rsid w:val="002153CD"/>
    <w:rsid w:val="00215CF6"/>
    <w:rsid w:val="00216C20"/>
    <w:rsid w:val="00217537"/>
    <w:rsid w:val="00220685"/>
    <w:rsid w:val="002214CC"/>
    <w:rsid w:val="00221B9F"/>
    <w:rsid w:val="00221F66"/>
    <w:rsid w:val="0022234B"/>
    <w:rsid w:val="0022255D"/>
    <w:rsid w:val="002232D7"/>
    <w:rsid w:val="002236B2"/>
    <w:rsid w:val="002237DF"/>
    <w:rsid w:val="00223828"/>
    <w:rsid w:val="00224250"/>
    <w:rsid w:val="00224557"/>
    <w:rsid w:val="002258C0"/>
    <w:rsid w:val="002260BA"/>
    <w:rsid w:val="0022690F"/>
    <w:rsid w:val="00226B55"/>
    <w:rsid w:val="0022741B"/>
    <w:rsid w:val="00227BE9"/>
    <w:rsid w:val="00227E8E"/>
    <w:rsid w:val="002308A6"/>
    <w:rsid w:val="00230EB4"/>
    <w:rsid w:val="00230ED3"/>
    <w:rsid w:val="002317A9"/>
    <w:rsid w:val="00231884"/>
    <w:rsid w:val="00231AAF"/>
    <w:rsid w:val="00232059"/>
    <w:rsid w:val="0023345A"/>
    <w:rsid w:val="00233928"/>
    <w:rsid w:val="00233C9F"/>
    <w:rsid w:val="00234240"/>
    <w:rsid w:val="002342E7"/>
    <w:rsid w:val="00234417"/>
    <w:rsid w:val="00234828"/>
    <w:rsid w:val="00234FC6"/>
    <w:rsid w:val="0023567D"/>
    <w:rsid w:val="00236146"/>
    <w:rsid w:val="002370E9"/>
    <w:rsid w:val="00237179"/>
    <w:rsid w:val="002374B8"/>
    <w:rsid w:val="00237511"/>
    <w:rsid w:val="00237587"/>
    <w:rsid w:val="00237B18"/>
    <w:rsid w:val="00240306"/>
    <w:rsid w:val="002409F7"/>
    <w:rsid w:val="0024130A"/>
    <w:rsid w:val="0024151A"/>
    <w:rsid w:val="00241F16"/>
    <w:rsid w:val="0024201D"/>
    <w:rsid w:val="002420C8"/>
    <w:rsid w:val="0024245A"/>
    <w:rsid w:val="0024282E"/>
    <w:rsid w:val="00242D12"/>
    <w:rsid w:val="00242E0B"/>
    <w:rsid w:val="0024473D"/>
    <w:rsid w:val="00245EA8"/>
    <w:rsid w:val="00246B63"/>
    <w:rsid w:val="0024704A"/>
    <w:rsid w:val="002475A3"/>
    <w:rsid w:val="00247BA2"/>
    <w:rsid w:val="002503BF"/>
    <w:rsid w:val="002505A9"/>
    <w:rsid w:val="00250B7D"/>
    <w:rsid w:val="00252F67"/>
    <w:rsid w:val="0025317E"/>
    <w:rsid w:val="0025336C"/>
    <w:rsid w:val="00253971"/>
    <w:rsid w:val="00253F99"/>
    <w:rsid w:val="0025410F"/>
    <w:rsid w:val="00254148"/>
    <w:rsid w:val="0025449F"/>
    <w:rsid w:val="002546AD"/>
    <w:rsid w:val="00256534"/>
    <w:rsid w:val="00256AC5"/>
    <w:rsid w:val="00256C7B"/>
    <w:rsid w:val="002570D4"/>
    <w:rsid w:val="00257874"/>
    <w:rsid w:val="00262F44"/>
    <w:rsid w:val="0026382E"/>
    <w:rsid w:val="00264C96"/>
    <w:rsid w:val="00265448"/>
    <w:rsid w:val="002654C9"/>
    <w:rsid w:val="0026565F"/>
    <w:rsid w:val="00265CC7"/>
    <w:rsid w:val="00265E1D"/>
    <w:rsid w:val="00266ECB"/>
    <w:rsid w:val="002672DA"/>
    <w:rsid w:val="00267BF1"/>
    <w:rsid w:val="00270055"/>
    <w:rsid w:val="00270A9A"/>
    <w:rsid w:val="002714F3"/>
    <w:rsid w:val="002719C1"/>
    <w:rsid w:val="002723A5"/>
    <w:rsid w:val="00272F41"/>
    <w:rsid w:val="002733E5"/>
    <w:rsid w:val="00273628"/>
    <w:rsid w:val="002737DD"/>
    <w:rsid w:val="002739D3"/>
    <w:rsid w:val="00273AE1"/>
    <w:rsid w:val="0027460D"/>
    <w:rsid w:val="0027462A"/>
    <w:rsid w:val="002749B0"/>
    <w:rsid w:val="00274A6C"/>
    <w:rsid w:val="00275F87"/>
    <w:rsid w:val="00277BDA"/>
    <w:rsid w:val="0028043F"/>
    <w:rsid w:val="0028054D"/>
    <w:rsid w:val="002809A3"/>
    <w:rsid w:val="00280EED"/>
    <w:rsid w:val="0028133A"/>
    <w:rsid w:val="00281CF0"/>
    <w:rsid w:val="00282788"/>
    <w:rsid w:val="00282E16"/>
    <w:rsid w:val="002830A0"/>
    <w:rsid w:val="00283522"/>
    <w:rsid w:val="002839D8"/>
    <w:rsid w:val="0028429E"/>
    <w:rsid w:val="00284538"/>
    <w:rsid w:val="002851F1"/>
    <w:rsid w:val="002857ED"/>
    <w:rsid w:val="00286544"/>
    <w:rsid w:val="002867EC"/>
    <w:rsid w:val="00286FC2"/>
    <w:rsid w:val="0028716C"/>
    <w:rsid w:val="002875B6"/>
    <w:rsid w:val="0028773D"/>
    <w:rsid w:val="00287820"/>
    <w:rsid w:val="002878AD"/>
    <w:rsid w:val="00287F3F"/>
    <w:rsid w:val="00290023"/>
    <w:rsid w:val="00290397"/>
    <w:rsid w:val="002905A0"/>
    <w:rsid w:val="00290AED"/>
    <w:rsid w:val="00290C73"/>
    <w:rsid w:val="0029101B"/>
    <w:rsid w:val="0029150E"/>
    <w:rsid w:val="00292458"/>
    <w:rsid w:val="00292780"/>
    <w:rsid w:val="00293343"/>
    <w:rsid w:val="00294DD6"/>
    <w:rsid w:val="002961D9"/>
    <w:rsid w:val="0029669F"/>
    <w:rsid w:val="00296704"/>
    <w:rsid w:val="00296E2F"/>
    <w:rsid w:val="002970F5"/>
    <w:rsid w:val="0029766C"/>
    <w:rsid w:val="00297A88"/>
    <w:rsid w:val="00297BC4"/>
    <w:rsid w:val="00297EDA"/>
    <w:rsid w:val="002A069B"/>
    <w:rsid w:val="002A11AB"/>
    <w:rsid w:val="002A12D9"/>
    <w:rsid w:val="002A1B0E"/>
    <w:rsid w:val="002A20B4"/>
    <w:rsid w:val="002A2327"/>
    <w:rsid w:val="002A237C"/>
    <w:rsid w:val="002A28FD"/>
    <w:rsid w:val="002A30F9"/>
    <w:rsid w:val="002A3AB8"/>
    <w:rsid w:val="002A3ED0"/>
    <w:rsid w:val="002A461F"/>
    <w:rsid w:val="002A48F2"/>
    <w:rsid w:val="002A4D43"/>
    <w:rsid w:val="002A50E8"/>
    <w:rsid w:val="002A59FB"/>
    <w:rsid w:val="002A5C1A"/>
    <w:rsid w:val="002A627C"/>
    <w:rsid w:val="002A65EF"/>
    <w:rsid w:val="002A6784"/>
    <w:rsid w:val="002A69FE"/>
    <w:rsid w:val="002A6B63"/>
    <w:rsid w:val="002A765C"/>
    <w:rsid w:val="002A7A9C"/>
    <w:rsid w:val="002A7ABA"/>
    <w:rsid w:val="002B08C1"/>
    <w:rsid w:val="002B09BD"/>
    <w:rsid w:val="002B0CD1"/>
    <w:rsid w:val="002B1918"/>
    <w:rsid w:val="002B19D3"/>
    <w:rsid w:val="002B216C"/>
    <w:rsid w:val="002B2532"/>
    <w:rsid w:val="002B297F"/>
    <w:rsid w:val="002B39F2"/>
    <w:rsid w:val="002B441B"/>
    <w:rsid w:val="002B4C5F"/>
    <w:rsid w:val="002B4D2A"/>
    <w:rsid w:val="002B4D97"/>
    <w:rsid w:val="002B517C"/>
    <w:rsid w:val="002B538D"/>
    <w:rsid w:val="002B561B"/>
    <w:rsid w:val="002B5C68"/>
    <w:rsid w:val="002B5CF3"/>
    <w:rsid w:val="002B5D9D"/>
    <w:rsid w:val="002B6168"/>
    <w:rsid w:val="002B6225"/>
    <w:rsid w:val="002B68CA"/>
    <w:rsid w:val="002B6DA0"/>
    <w:rsid w:val="002B6DBD"/>
    <w:rsid w:val="002B7EF1"/>
    <w:rsid w:val="002C0369"/>
    <w:rsid w:val="002C053F"/>
    <w:rsid w:val="002C0718"/>
    <w:rsid w:val="002C213D"/>
    <w:rsid w:val="002C21A9"/>
    <w:rsid w:val="002C2460"/>
    <w:rsid w:val="002C3322"/>
    <w:rsid w:val="002C33BE"/>
    <w:rsid w:val="002C36BD"/>
    <w:rsid w:val="002C3A1D"/>
    <w:rsid w:val="002C3C79"/>
    <w:rsid w:val="002C4104"/>
    <w:rsid w:val="002C4D7D"/>
    <w:rsid w:val="002C4E61"/>
    <w:rsid w:val="002C4F84"/>
    <w:rsid w:val="002C5AD8"/>
    <w:rsid w:val="002C5D57"/>
    <w:rsid w:val="002C62E2"/>
    <w:rsid w:val="002C66A9"/>
    <w:rsid w:val="002C68D5"/>
    <w:rsid w:val="002C6C12"/>
    <w:rsid w:val="002C6D80"/>
    <w:rsid w:val="002C6E65"/>
    <w:rsid w:val="002C73BF"/>
    <w:rsid w:val="002C7C82"/>
    <w:rsid w:val="002D0296"/>
    <w:rsid w:val="002D04C9"/>
    <w:rsid w:val="002D0DCA"/>
    <w:rsid w:val="002D10A0"/>
    <w:rsid w:val="002D2FF5"/>
    <w:rsid w:val="002D3028"/>
    <w:rsid w:val="002D39F1"/>
    <w:rsid w:val="002D3ADB"/>
    <w:rsid w:val="002D3E19"/>
    <w:rsid w:val="002D417E"/>
    <w:rsid w:val="002D44FF"/>
    <w:rsid w:val="002D4706"/>
    <w:rsid w:val="002D5455"/>
    <w:rsid w:val="002D547A"/>
    <w:rsid w:val="002D5A4B"/>
    <w:rsid w:val="002D5BFC"/>
    <w:rsid w:val="002D6398"/>
    <w:rsid w:val="002D6CA2"/>
    <w:rsid w:val="002D767C"/>
    <w:rsid w:val="002D788D"/>
    <w:rsid w:val="002D7C0F"/>
    <w:rsid w:val="002E01AA"/>
    <w:rsid w:val="002E154E"/>
    <w:rsid w:val="002E1649"/>
    <w:rsid w:val="002E168E"/>
    <w:rsid w:val="002E1B7A"/>
    <w:rsid w:val="002E223C"/>
    <w:rsid w:val="002E22F4"/>
    <w:rsid w:val="002E28D6"/>
    <w:rsid w:val="002E29FC"/>
    <w:rsid w:val="002E2B71"/>
    <w:rsid w:val="002E2B72"/>
    <w:rsid w:val="002E2FFE"/>
    <w:rsid w:val="002E383A"/>
    <w:rsid w:val="002E458F"/>
    <w:rsid w:val="002E46A2"/>
    <w:rsid w:val="002E4BA9"/>
    <w:rsid w:val="002E4C59"/>
    <w:rsid w:val="002E5A18"/>
    <w:rsid w:val="002E73B1"/>
    <w:rsid w:val="002E73C5"/>
    <w:rsid w:val="002E7EEF"/>
    <w:rsid w:val="002F01AA"/>
    <w:rsid w:val="002F0203"/>
    <w:rsid w:val="002F062D"/>
    <w:rsid w:val="002F09A7"/>
    <w:rsid w:val="002F0B12"/>
    <w:rsid w:val="002F21BF"/>
    <w:rsid w:val="002F2C18"/>
    <w:rsid w:val="002F2E4F"/>
    <w:rsid w:val="002F3EB4"/>
    <w:rsid w:val="002F4216"/>
    <w:rsid w:val="002F480C"/>
    <w:rsid w:val="002F5E9E"/>
    <w:rsid w:val="002F5F22"/>
    <w:rsid w:val="002F6301"/>
    <w:rsid w:val="002F677F"/>
    <w:rsid w:val="002F6EDA"/>
    <w:rsid w:val="002F745E"/>
    <w:rsid w:val="0030028B"/>
    <w:rsid w:val="0030071F"/>
    <w:rsid w:val="0030074B"/>
    <w:rsid w:val="0030078D"/>
    <w:rsid w:val="00300D62"/>
    <w:rsid w:val="00301983"/>
    <w:rsid w:val="003025C7"/>
    <w:rsid w:val="00303095"/>
    <w:rsid w:val="00303637"/>
    <w:rsid w:val="00303B47"/>
    <w:rsid w:val="00303DBA"/>
    <w:rsid w:val="003040C8"/>
    <w:rsid w:val="003046FC"/>
    <w:rsid w:val="00304A10"/>
    <w:rsid w:val="00304DEE"/>
    <w:rsid w:val="00304EAD"/>
    <w:rsid w:val="003054B9"/>
    <w:rsid w:val="00305EB7"/>
    <w:rsid w:val="00306140"/>
    <w:rsid w:val="0030688C"/>
    <w:rsid w:val="00306C47"/>
    <w:rsid w:val="00306D1F"/>
    <w:rsid w:val="0030730A"/>
    <w:rsid w:val="00307C55"/>
    <w:rsid w:val="00307E2C"/>
    <w:rsid w:val="0031052E"/>
    <w:rsid w:val="0031070E"/>
    <w:rsid w:val="00310790"/>
    <w:rsid w:val="003115E2"/>
    <w:rsid w:val="003119EA"/>
    <w:rsid w:val="00311AAA"/>
    <w:rsid w:val="00311FB4"/>
    <w:rsid w:val="003124F3"/>
    <w:rsid w:val="00312D5E"/>
    <w:rsid w:val="00313054"/>
    <w:rsid w:val="00313222"/>
    <w:rsid w:val="003134ED"/>
    <w:rsid w:val="003135FC"/>
    <w:rsid w:val="00313CAD"/>
    <w:rsid w:val="00313ED0"/>
    <w:rsid w:val="003145E7"/>
    <w:rsid w:val="00315C08"/>
    <w:rsid w:val="00315E99"/>
    <w:rsid w:val="00316D4E"/>
    <w:rsid w:val="003174DD"/>
    <w:rsid w:val="003177EE"/>
    <w:rsid w:val="0031795B"/>
    <w:rsid w:val="0032021C"/>
    <w:rsid w:val="003202E5"/>
    <w:rsid w:val="0032101D"/>
    <w:rsid w:val="0032187F"/>
    <w:rsid w:val="00322791"/>
    <w:rsid w:val="003229ED"/>
    <w:rsid w:val="00323256"/>
    <w:rsid w:val="003235F6"/>
    <w:rsid w:val="00323DBD"/>
    <w:rsid w:val="00323FE9"/>
    <w:rsid w:val="00324C91"/>
    <w:rsid w:val="00325826"/>
    <w:rsid w:val="00326426"/>
    <w:rsid w:val="00326504"/>
    <w:rsid w:val="00327798"/>
    <w:rsid w:val="0033090B"/>
    <w:rsid w:val="0033096E"/>
    <w:rsid w:val="003309FB"/>
    <w:rsid w:val="00332B6A"/>
    <w:rsid w:val="003336DB"/>
    <w:rsid w:val="00333AF4"/>
    <w:rsid w:val="00334A11"/>
    <w:rsid w:val="00335D85"/>
    <w:rsid w:val="003361DE"/>
    <w:rsid w:val="0033679F"/>
    <w:rsid w:val="00337743"/>
    <w:rsid w:val="00337CC1"/>
    <w:rsid w:val="00341632"/>
    <w:rsid w:val="00341F94"/>
    <w:rsid w:val="00342DC3"/>
    <w:rsid w:val="003435E6"/>
    <w:rsid w:val="003437B4"/>
    <w:rsid w:val="00344F61"/>
    <w:rsid w:val="003450BE"/>
    <w:rsid w:val="00345D74"/>
    <w:rsid w:val="00345E99"/>
    <w:rsid w:val="00345FA2"/>
    <w:rsid w:val="00346452"/>
    <w:rsid w:val="003469F7"/>
    <w:rsid w:val="00347435"/>
    <w:rsid w:val="003517DA"/>
    <w:rsid w:val="00351F71"/>
    <w:rsid w:val="0035305A"/>
    <w:rsid w:val="00353309"/>
    <w:rsid w:val="00353441"/>
    <w:rsid w:val="00353AF2"/>
    <w:rsid w:val="00353BD3"/>
    <w:rsid w:val="00353F2A"/>
    <w:rsid w:val="0035434A"/>
    <w:rsid w:val="0035442D"/>
    <w:rsid w:val="0035584A"/>
    <w:rsid w:val="0035611B"/>
    <w:rsid w:val="003561C5"/>
    <w:rsid w:val="00356585"/>
    <w:rsid w:val="00356628"/>
    <w:rsid w:val="00356A7A"/>
    <w:rsid w:val="00356CA6"/>
    <w:rsid w:val="00356E0D"/>
    <w:rsid w:val="00356F70"/>
    <w:rsid w:val="003574CC"/>
    <w:rsid w:val="00360CD3"/>
    <w:rsid w:val="00361F57"/>
    <w:rsid w:val="00362824"/>
    <w:rsid w:val="00363977"/>
    <w:rsid w:val="00363CE3"/>
    <w:rsid w:val="00363F73"/>
    <w:rsid w:val="00364475"/>
    <w:rsid w:val="0036463C"/>
    <w:rsid w:val="00364B8D"/>
    <w:rsid w:val="00364C90"/>
    <w:rsid w:val="00365D5A"/>
    <w:rsid w:val="00366D6E"/>
    <w:rsid w:val="00367D61"/>
    <w:rsid w:val="00367DD3"/>
    <w:rsid w:val="003700C9"/>
    <w:rsid w:val="0037065A"/>
    <w:rsid w:val="0037070C"/>
    <w:rsid w:val="00370FC4"/>
    <w:rsid w:val="00371280"/>
    <w:rsid w:val="00371CE7"/>
    <w:rsid w:val="00371FCA"/>
    <w:rsid w:val="00372283"/>
    <w:rsid w:val="0037359C"/>
    <w:rsid w:val="0037374E"/>
    <w:rsid w:val="00374003"/>
    <w:rsid w:val="003742D4"/>
    <w:rsid w:val="00374AC0"/>
    <w:rsid w:val="00374E93"/>
    <w:rsid w:val="00374F1C"/>
    <w:rsid w:val="0037501A"/>
    <w:rsid w:val="0037574E"/>
    <w:rsid w:val="00376416"/>
    <w:rsid w:val="00376552"/>
    <w:rsid w:val="00376F29"/>
    <w:rsid w:val="003771D0"/>
    <w:rsid w:val="00377664"/>
    <w:rsid w:val="00377A36"/>
    <w:rsid w:val="00380B7B"/>
    <w:rsid w:val="00381C11"/>
    <w:rsid w:val="00382CB3"/>
    <w:rsid w:val="00382ED8"/>
    <w:rsid w:val="00383B66"/>
    <w:rsid w:val="00385751"/>
    <w:rsid w:val="00386785"/>
    <w:rsid w:val="003872C9"/>
    <w:rsid w:val="00387997"/>
    <w:rsid w:val="00390623"/>
    <w:rsid w:val="0039123A"/>
    <w:rsid w:val="00391BDA"/>
    <w:rsid w:val="0039216D"/>
    <w:rsid w:val="003922DC"/>
    <w:rsid w:val="003924AD"/>
    <w:rsid w:val="00392F1C"/>
    <w:rsid w:val="00393074"/>
    <w:rsid w:val="003930B7"/>
    <w:rsid w:val="003931D3"/>
    <w:rsid w:val="00393366"/>
    <w:rsid w:val="003939E9"/>
    <w:rsid w:val="003940FE"/>
    <w:rsid w:val="00394554"/>
    <w:rsid w:val="00394EAA"/>
    <w:rsid w:val="00395021"/>
    <w:rsid w:val="003952D4"/>
    <w:rsid w:val="0039539F"/>
    <w:rsid w:val="00396FF2"/>
    <w:rsid w:val="0039766D"/>
    <w:rsid w:val="003978C4"/>
    <w:rsid w:val="003979E7"/>
    <w:rsid w:val="003A0DCA"/>
    <w:rsid w:val="003A0E98"/>
    <w:rsid w:val="003A176E"/>
    <w:rsid w:val="003A3257"/>
    <w:rsid w:val="003A4236"/>
    <w:rsid w:val="003A4255"/>
    <w:rsid w:val="003A427A"/>
    <w:rsid w:val="003A43BD"/>
    <w:rsid w:val="003A4D19"/>
    <w:rsid w:val="003A5302"/>
    <w:rsid w:val="003A6260"/>
    <w:rsid w:val="003A667E"/>
    <w:rsid w:val="003A7B45"/>
    <w:rsid w:val="003A7C23"/>
    <w:rsid w:val="003B0089"/>
    <w:rsid w:val="003B031C"/>
    <w:rsid w:val="003B0BD7"/>
    <w:rsid w:val="003B1282"/>
    <w:rsid w:val="003B1371"/>
    <w:rsid w:val="003B2224"/>
    <w:rsid w:val="003B38D0"/>
    <w:rsid w:val="003B3C31"/>
    <w:rsid w:val="003B3EEB"/>
    <w:rsid w:val="003B43E0"/>
    <w:rsid w:val="003B5245"/>
    <w:rsid w:val="003B55BA"/>
    <w:rsid w:val="003B5E71"/>
    <w:rsid w:val="003B690F"/>
    <w:rsid w:val="003B7203"/>
    <w:rsid w:val="003B747A"/>
    <w:rsid w:val="003B75E3"/>
    <w:rsid w:val="003B7D03"/>
    <w:rsid w:val="003C00D8"/>
    <w:rsid w:val="003C0259"/>
    <w:rsid w:val="003C0754"/>
    <w:rsid w:val="003C08FE"/>
    <w:rsid w:val="003C1513"/>
    <w:rsid w:val="003C153D"/>
    <w:rsid w:val="003C31A4"/>
    <w:rsid w:val="003C399D"/>
    <w:rsid w:val="003C432D"/>
    <w:rsid w:val="003C47F9"/>
    <w:rsid w:val="003C4F2E"/>
    <w:rsid w:val="003C529E"/>
    <w:rsid w:val="003C55A3"/>
    <w:rsid w:val="003C5801"/>
    <w:rsid w:val="003C77DB"/>
    <w:rsid w:val="003C7E53"/>
    <w:rsid w:val="003D0615"/>
    <w:rsid w:val="003D0BF9"/>
    <w:rsid w:val="003D20D9"/>
    <w:rsid w:val="003D2298"/>
    <w:rsid w:val="003D2441"/>
    <w:rsid w:val="003D26B2"/>
    <w:rsid w:val="003D27E9"/>
    <w:rsid w:val="003D304B"/>
    <w:rsid w:val="003D3A23"/>
    <w:rsid w:val="003D3D8A"/>
    <w:rsid w:val="003D48CD"/>
    <w:rsid w:val="003D4B80"/>
    <w:rsid w:val="003D5C2A"/>
    <w:rsid w:val="003D6F1A"/>
    <w:rsid w:val="003E0AD2"/>
    <w:rsid w:val="003E1EC2"/>
    <w:rsid w:val="003E2A2C"/>
    <w:rsid w:val="003E2C77"/>
    <w:rsid w:val="003E47DA"/>
    <w:rsid w:val="003E4830"/>
    <w:rsid w:val="003E500A"/>
    <w:rsid w:val="003E557A"/>
    <w:rsid w:val="003E5678"/>
    <w:rsid w:val="003E575E"/>
    <w:rsid w:val="003E5DE2"/>
    <w:rsid w:val="003E663D"/>
    <w:rsid w:val="003E6C5A"/>
    <w:rsid w:val="003E6FD9"/>
    <w:rsid w:val="003E7588"/>
    <w:rsid w:val="003E7689"/>
    <w:rsid w:val="003F05FD"/>
    <w:rsid w:val="003F07D8"/>
    <w:rsid w:val="003F08A4"/>
    <w:rsid w:val="003F0B7E"/>
    <w:rsid w:val="003F0F65"/>
    <w:rsid w:val="003F1577"/>
    <w:rsid w:val="003F17A3"/>
    <w:rsid w:val="003F194A"/>
    <w:rsid w:val="003F1B06"/>
    <w:rsid w:val="003F1B4A"/>
    <w:rsid w:val="003F1D1F"/>
    <w:rsid w:val="003F20EF"/>
    <w:rsid w:val="003F2532"/>
    <w:rsid w:val="003F2679"/>
    <w:rsid w:val="003F2D97"/>
    <w:rsid w:val="003F32C2"/>
    <w:rsid w:val="003F3405"/>
    <w:rsid w:val="003F386B"/>
    <w:rsid w:val="003F387A"/>
    <w:rsid w:val="003F393C"/>
    <w:rsid w:val="003F3A65"/>
    <w:rsid w:val="003F3C68"/>
    <w:rsid w:val="003F4061"/>
    <w:rsid w:val="003F529F"/>
    <w:rsid w:val="003F536D"/>
    <w:rsid w:val="003F577D"/>
    <w:rsid w:val="003F5BE8"/>
    <w:rsid w:val="003F5C35"/>
    <w:rsid w:val="003F63C1"/>
    <w:rsid w:val="003F6763"/>
    <w:rsid w:val="003F67A4"/>
    <w:rsid w:val="003F6CE6"/>
    <w:rsid w:val="003F7324"/>
    <w:rsid w:val="003F7E93"/>
    <w:rsid w:val="0040074F"/>
    <w:rsid w:val="00401615"/>
    <w:rsid w:val="00401FF5"/>
    <w:rsid w:val="00402241"/>
    <w:rsid w:val="0040386A"/>
    <w:rsid w:val="00403D9D"/>
    <w:rsid w:val="00404231"/>
    <w:rsid w:val="0040433C"/>
    <w:rsid w:val="0040442A"/>
    <w:rsid w:val="00404E23"/>
    <w:rsid w:val="00405518"/>
    <w:rsid w:val="00405776"/>
    <w:rsid w:val="00405A3E"/>
    <w:rsid w:val="00406356"/>
    <w:rsid w:val="004067A8"/>
    <w:rsid w:val="00406897"/>
    <w:rsid w:val="00407536"/>
    <w:rsid w:val="00407B93"/>
    <w:rsid w:val="004101BC"/>
    <w:rsid w:val="0041059E"/>
    <w:rsid w:val="004107D5"/>
    <w:rsid w:val="004109F7"/>
    <w:rsid w:val="00410AFF"/>
    <w:rsid w:val="0041194B"/>
    <w:rsid w:val="00412278"/>
    <w:rsid w:val="00412395"/>
    <w:rsid w:val="004126C9"/>
    <w:rsid w:val="00412B7E"/>
    <w:rsid w:val="00412D67"/>
    <w:rsid w:val="00412EF3"/>
    <w:rsid w:val="00413593"/>
    <w:rsid w:val="00413833"/>
    <w:rsid w:val="004138D3"/>
    <w:rsid w:val="004140CC"/>
    <w:rsid w:val="00414EE3"/>
    <w:rsid w:val="00416A84"/>
    <w:rsid w:val="00416AFB"/>
    <w:rsid w:val="0041704A"/>
    <w:rsid w:val="00417A29"/>
    <w:rsid w:val="00417B15"/>
    <w:rsid w:val="00420581"/>
    <w:rsid w:val="004206EA"/>
    <w:rsid w:val="00420CC1"/>
    <w:rsid w:val="00421076"/>
    <w:rsid w:val="004211E6"/>
    <w:rsid w:val="004212C7"/>
    <w:rsid w:val="00421C5D"/>
    <w:rsid w:val="004221BA"/>
    <w:rsid w:val="004229AE"/>
    <w:rsid w:val="00422A8B"/>
    <w:rsid w:val="00422F54"/>
    <w:rsid w:val="00423726"/>
    <w:rsid w:val="00423A49"/>
    <w:rsid w:val="00423E40"/>
    <w:rsid w:val="00423F4D"/>
    <w:rsid w:val="0042436E"/>
    <w:rsid w:val="00424630"/>
    <w:rsid w:val="004247CF"/>
    <w:rsid w:val="00424A23"/>
    <w:rsid w:val="004262C6"/>
    <w:rsid w:val="004263B8"/>
    <w:rsid w:val="00426849"/>
    <w:rsid w:val="00426DB2"/>
    <w:rsid w:val="0042702C"/>
    <w:rsid w:val="00427408"/>
    <w:rsid w:val="00427985"/>
    <w:rsid w:val="00430AA6"/>
    <w:rsid w:val="00430C76"/>
    <w:rsid w:val="004311BE"/>
    <w:rsid w:val="0043174A"/>
    <w:rsid w:val="00431C7A"/>
    <w:rsid w:val="0043223E"/>
    <w:rsid w:val="00432318"/>
    <w:rsid w:val="00432E66"/>
    <w:rsid w:val="00432ECA"/>
    <w:rsid w:val="00433205"/>
    <w:rsid w:val="00433649"/>
    <w:rsid w:val="004338E6"/>
    <w:rsid w:val="00433A82"/>
    <w:rsid w:val="00433FE6"/>
    <w:rsid w:val="00434D03"/>
    <w:rsid w:val="004353AD"/>
    <w:rsid w:val="00435462"/>
    <w:rsid w:val="00435AFC"/>
    <w:rsid w:val="004363AA"/>
    <w:rsid w:val="0043761A"/>
    <w:rsid w:val="0043784D"/>
    <w:rsid w:val="00437869"/>
    <w:rsid w:val="00437D8D"/>
    <w:rsid w:val="004405C5"/>
    <w:rsid w:val="00440C55"/>
    <w:rsid w:val="00441D73"/>
    <w:rsid w:val="00441E60"/>
    <w:rsid w:val="004426D3"/>
    <w:rsid w:val="00442740"/>
    <w:rsid w:val="00442D03"/>
    <w:rsid w:val="0044386A"/>
    <w:rsid w:val="004452D7"/>
    <w:rsid w:val="00445742"/>
    <w:rsid w:val="0044633C"/>
    <w:rsid w:val="0044671B"/>
    <w:rsid w:val="004470F2"/>
    <w:rsid w:val="0045022D"/>
    <w:rsid w:val="00451292"/>
    <w:rsid w:val="00451D6A"/>
    <w:rsid w:val="00451FA5"/>
    <w:rsid w:val="00451FE0"/>
    <w:rsid w:val="00452167"/>
    <w:rsid w:val="00452944"/>
    <w:rsid w:val="00452A3C"/>
    <w:rsid w:val="00452B81"/>
    <w:rsid w:val="00452BAD"/>
    <w:rsid w:val="004533B6"/>
    <w:rsid w:val="004538DC"/>
    <w:rsid w:val="00454587"/>
    <w:rsid w:val="0045553D"/>
    <w:rsid w:val="00455AFE"/>
    <w:rsid w:val="00455D25"/>
    <w:rsid w:val="00455E3D"/>
    <w:rsid w:val="00455E5D"/>
    <w:rsid w:val="004562BB"/>
    <w:rsid w:val="00456EE6"/>
    <w:rsid w:val="0045792B"/>
    <w:rsid w:val="00457D57"/>
    <w:rsid w:val="00457FD6"/>
    <w:rsid w:val="0046046C"/>
    <w:rsid w:val="00460D92"/>
    <w:rsid w:val="00462F94"/>
    <w:rsid w:val="00464AA8"/>
    <w:rsid w:val="00464B84"/>
    <w:rsid w:val="00464F7A"/>
    <w:rsid w:val="004650E3"/>
    <w:rsid w:val="004651DF"/>
    <w:rsid w:val="004655FC"/>
    <w:rsid w:val="0046560F"/>
    <w:rsid w:val="00465998"/>
    <w:rsid w:val="004665D6"/>
    <w:rsid w:val="004671EE"/>
    <w:rsid w:val="0046764E"/>
    <w:rsid w:val="00467CCA"/>
    <w:rsid w:val="00470499"/>
    <w:rsid w:val="004710FF"/>
    <w:rsid w:val="00471C4D"/>
    <w:rsid w:val="00472091"/>
    <w:rsid w:val="0047252A"/>
    <w:rsid w:val="00472B47"/>
    <w:rsid w:val="00472E13"/>
    <w:rsid w:val="00473018"/>
    <w:rsid w:val="00473386"/>
    <w:rsid w:val="004734F3"/>
    <w:rsid w:val="0047393C"/>
    <w:rsid w:val="00473961"/>
    <w:rsid w:val="00473D39"/>
    <w:rsid w:val="00473DAB"/>
    <w:rsid w:val="004740A6"/>
    <w:rsid w:val="004741A7"/>
    <w:rsid w:val="00474F57"/>
    <w:rsid w:val="004753C5"/>
    <w:rsid w:val="004754DD"/>
    <w:rsid w:val="004755FB"/>
    <w:rsid w:val="00475BB5"/>
    <w:rsid w:val="00475E21"/>
    <w:rsid w:val="004761FA"/>
    <w:rsid w:val="00477424"/>
    <w:rsid w:val="0047777C"/>
    <w:rsid w:val="00480228"/>
    <w:rsid w:val="004820DA"/>
    <w:rsid w:val="00483A29"/>
    <w:rsid w:val="004846B6"/>
    <w:rsid w:val="00485667"/>
    <w:rsid w:val="00485916"/>
    <w:rsid w:val="00486188"/>
    <w:rsid w:val="00486721"/>
    <w:rsid w:val="00487B4A"/>
    <w:rsid w:val="0049007D"/>
    <w:rsid w:val="004913F1"/>
    <w:rsid w:val="00491AD3"/>
    <w:rsid w:val="00492015"/>
    <w:rsid w:val="0049236C"/>
    <w:rsid w:val="00494047"/>
    <w:rsid w:val="0049411A"/>
    <w:rsid w:val="00494B28"/>
    <w:rsid w:val="00494C4E"/>
    <w:rsid w:val="00494E4B"/>
    <w:rsid w:val="00495483"/>
    <w:rsid w:val="0049596B"/>
    <w:rsid w:val="00495FDD"/>
    <w:rsid w:val="004965E8"/>
    <w:rsid w:val="0049690C"/>
    <w:rsid w:val="00496998"/>
    <w:rsid w:val="00496FE6"/>
    <w:rsid w:val="00497A86"/>
    <w:rsid w:val="00497B14"/>
    <w:rsid w:val="00497DC7"/>
    <w:rsid w:val="004A0E45"/>
    <w:rsid w:val="004A1905"/>
    <w:rsid w:val="004A1912"/>
    <w:rsid w:val="004A23EA"/>
    <w:rsid w:val="004A2CFB"/>
    <w:rsid w:val="004A3530"/>
    <w:rsid w:val="004A3732"/>
    <w:rsid w:val="004A3A58"/>
    <w:rsid w:val="004A3E0D"/>
    <w:rsid w:val="004A4334"/>
    <w:rsid w:val="004A4C41"/>
    <w:rsid w:val="004A50FF"/>
    <w:rsid w:val="004A55FC"/>
    <w:rsid w:val="004A5FD2"/>
    <w:rsid w:val="004A7513"/>
    <w:rsid w:val="004A7BBB"/>
    <w:rsid w:val="004A7C97"/>
    <w:rsid w:val="004B039A"/>
    <w:rsid w:val="004B09EC"/>
    <w:rsid w:val="004B1424"/>
    <w:rsid w:val="004B2421"/>
    <w:rsid w:val="004B2CC4"/>
    <w:rsid w:val="004B3325"/>
    <w:rsid w:val="004B3728"/>
    <w:rsid w:val="004B4243"/>
    <w:rsid w:val="004B4D9D"/>
    <w:rsid w:val="004B5A56"/>
    <w:rsid w:val="004B6644"/>
    <w:rsid w:val="004B6CCF"/>
    <w:rsid w:val="004B6F22"/>
    <w:rsid w:val="004B70E4"/>
    <w:rsid w:val="004C0CBE"/>
    <w:rsid w:val="004C1B6E"/>
    <w:rsid w:val="004C23B8"/>
    <w:rsid w:val="004C28B2"/>
    <w:rsid w:val="004C2F36"/>
    <w:rsid w:val="004C3865"/>
    <w:rsid w:val="004C3A76"/>
    <w:rsid w:val="004C546D"/>
    <w:rsid w:val="004C5510"/>
    <w:rsid w:val="004C56CC"/>
    <w:rsid w:val="004C58BE"/>
    <w:rsid w:val="004C6647"/>
    <w:rsid w:val="004C6C33"/>
    <w:rsid w:val="004C72AA"/>
    <w:rsid w:val="004C7C02"/>
    <w:rsid w:val="004D0EC9"/>
    <w:rsid w:val="004D124E"/>
    <w:rsid w:val="004D1BA1"/>
    <w:rsid w:val="004D2178"/>
    <w:rsid w:val="004D2282"/>
    <w:rsid w:val="004D2939"/>
    <w:rsid w:val="004D41D7"/>
    <w:rsid w:val="004D4B4E"/>
    <w:rsid w:val="004D52B8"/>
    <w:rsid w:val="004D63B7"/>
    <w:rsid w:val="004E0B20"/>
    <w:rsid w:val="004E0BFC"/>
    <w:rsid w:val="004E0E12"/>
    <w:rsid w:val="004E104E"/>
    <w:rsid w:val="004E1763"/>
    <w:rsid w:val="004E1A8A"/>
    <w:rsid w:val="004E1E66"/>
    <w:rsid w:val="004E2265"/>
    <w:rsid w:val="004E234E"/>
    <w:rsid w:val="004E2447"/>
    <w:rsid w:val="004E3CE6"/>
    <w:rsid w:val="004E429C"/>
    <w:rsid w:val="004E4703"/>
    <w:rsid w:val="004E4E3C"/>
    <w:rsid w:val="004E564B"/>
    <w:rsid w:val="004E6EBF"/>
    <w:rsid w:val="004E788B"/>
    <w:rsid w:val="004F0941"/>
    <w:rsid w:val="004F0E5C"/>
    <w:rsid w:val="004F1ADD"/>
    <w:rsid w:val="004F1C47"/>
    <w:rsid w:val="004F1E40"/>
    <w:rsid w:val="004F268C"/>
    <w:rsid w:val="004F28F2"/>
    <w:rsid w:val="004F2965"/>
    <w:rsid w:val="004F2D10"/>
    <w:rsid w:val="004F2D92"/>
    <w:rsid w:val="004F3827"/>
    <w:rsid w:val="004F38BB"/>
    <w:rsid w:val="004F3BD2"/>
    <w:rsid w:val="004F4B01"/>
    <w:rsid w:val="004F4FF8"/>
    <w:rsid w:val="004F511A"/>
    <w:rsid w:val="004F6432"/>
    <w:rsid w:val="004F6990"/>
    <w:rsid w:val="004F699E"/>
    <w:rsid w:val="005002B3"/>
    <w:rsid w:val="0050060E"/>
    <w:rsid w:val="00501151"/>
    <w:rsid w:val="00501278"/>
    <w:rsid w:val="005013C9"/>
    <w:rsid w:val="00501D10"/>
    <w:rsid w:val="00501F51"/>
    <w:rsid w:val="0050310D"/>
    <w:rsid w:val="00503748"/>
    <w:rsid w:val="005038AD"/>
    <w:rsid w:val="00503930"/>
    <w:rsid w:val="005039D9"/>
    <w:rsid w:val="00503F9A"/>
    <w:rsid w:val="00504804"/>
    <w:rsid w:val="00505B2A"/>
    <w:rsid w:val="00506087"/>
    <w:rsid w:val="0050648F"/>
    <w:rsid w:val="00506E18"/>
    <w:rsid w:val="0050724B"/>
    <w:rsid w:val="00507600"/>
    <w:rsid w:val="00507EE8"/>
    <w:rsid w:val="00510813"/>
    <w:rsid w:val="00511AE4"/>
    <w:rsid w:val="00511CC0"/>
    <w:rsid w:val="00512586"/>
    <w:rsid w:val="00512689"/>
    <w:rsid w:val="00512E73"/>
    <w:rsid w:val="005137CB"/>
    <w:rsid w:val="00513A3C"/>
    <w:rsid w:val="00514102"/>
    <w:rsid w:val="00514689"/>
    <w:rsid w:val="005148CC"/>
    <w:rsid w:val="0051520A"/>
    <w:rsid w:val="005154DF"/>
    <w:rsid w:val="00515C33"/>
    <w:rsid w:val="00515C91"/>
    <w:rsid w:val="0052074A"/>
    <w:rsid w:val="0052080D"/>
    <w:rsid w:val="00521888"/>
    <w:rsid w:val="00522028"/>
    <w:rsid w:val="00522590"/>
    <w:rsid w:val="0052365B"/>
    <w:rsid w:val="00523B4C"/>
    <w:rsid w:val="00525071"/>
    <w:rsid w:val="005256CF"/>
    <w:rsid w:val="0052619E"/>
    <w:rsid w:val="00526264"/>
    <w:rsid w:val="005263FE"/>
    <w:rsid w:val="00526431"/>
    <w:rsid w:val="00526966"/>
    <w:rsid w:val="00526DD6"/>
    <w:rsid w:val="00527629"/>
    <w:rsid w:val="005279BF"/>
    <w:rsid w:val="00527BFD"/>
    <w:rsid w:val="00531AAE"/>
    <w:rsid w:val="00531DC5"/>
    <w:rsid w:val="0053209C"/>
    <w:rsid w:val="0053219C"/>
    <w:rsid w:val="00532D5F"/>
    <w:rsid w:val="00533EA1"/>
    <w:rsid w:val="005344C0"/>
    <w:rsid w:val="0053501A"/>
    <w:rsid w:val="005350F6"/>
    <w:rsid w:val="00536A21"/>
    <w:rsid w:val="00536DB7"/>
    <w:rsid w:val="00537584"/>
    <w:rsid w:val="00537896"/>
    <w:rsid w:val="00537CCD"/>
    <w:rsid w:val="0054016F"/>
    <w:rsid w:val="00540B28"/>
    <w:rsid w:val="00541283"/>
    <w:rsid w:val="005432C4"/>
    <w:rsid w:val="00543B25"/>
    <w:rsid w:val="00544690"/>
    <w:rsid w:val="00544695"/>
    <w:rsid w:val="005452BC"/>
    <w:rsid w:val="00545746"/>
    <w:rsid w:val="005458B4"/>
    <w:rsid w:val="00545DA7"/>
    <w:rsid w:val="005461B8"/>
    <w:rsid w:val="00546910"/>
    <w:rsid w:val="00547011"/>
    <w:rsid w:val="005473C7"/>
    <w:rsid w:val="00550ACF"/>
    <w:rsid w:val="00550FCA"/>
    <w:rsid w:val="00551339"/>
    <w:rsid w:val="005513B5"/>
    <w:rsid w:val="0055291E"/>
    <w:rsid w:val="00553660"/>
    <w:rsid w:val="0055386E"/>
    <w:rsid w:val="00553EC8"/>
    <w:rsid w:val="0055496F"/>
    <w:rsid w:val="00554B5F"/>
    <w:rsid w:val="0055532D"/>
    <w:rsid w:val="005558DA"/>
    <w:rsid w:val="0055614E"/>
    <w:rsid w:val="005568FE"/>
    <w:rsid w:val="00557132"/>
    <w:rsid w:val="00557FB5"/>
    <w:rsid w:val="00560333"/>
    <w:rsid w:val="00560427"/>
    <w:rsid w:val="0056056D"/>
    <w:rsid w:val="00560A10"/>
    <w:rsid w:val="005612BB"/>
    <w:rsid w:val="0056193F"/>
    <w:rsid w:val="00561B6D"/>
    <w:rsid w:val="00561E3D"/>
    <w:rsid w:val="005628A3"/>
    <w:rsid w:val="005630FF"/>
    <w:rsid w:val="0056330F"/>
    <w:rsid w:val="00563767"/>
    <w:rsid w:val="005638FA"/>
    <w:rsid w:val="00563D49"/>
    <w:rsid w:val="00563DF3"/>
    <w:rsid w:val="00564A98"/>
    <w:rsid w:val="00564AB5"/>
    <w:rsid w:val="005650EF"/>
    <w:rsid w:val="005652C2"/>
    <w:rsid w:val="00565999"/>
    <w:rsid w:val="00565A54"/>
    <w:rsid w:val="00565D5B"/>
    <w:rsid w:val="00567AB1"/>
    <w:rsid w:val="00567B36"/>
    <w:rsid w:val="00571FFC"/>
    <w:rsid w:val="005729F1"/>
    <w:rsid w:val="00572F5C"/>
    <w:rsid w:val="00572F6E"/>
    <w:rsid w:val="0057304A"/>
    <w:rsid w:val="005731BC"/>
    <w:rsid w:val="0057367E"/>
    <w:rsid w:val="005738EA"/>
    <w:rsid w:val="00573DC9"/>
    <w:rsid w:val="005740DC"/>
    <w:rsid w:val="00574D85"/>
    <w:rsid w:val="00575693"/>
    <w:rsid w:val="00575FFB"/>
    <w:rsid w:val="00576560"/>
    <w:rsid w:val="00576DDC"/>
    <w:rsid w:val="00577592"/>
    <w:rsid w:val="005778FD"/>
    <w:rsid w:val="005779EF"/>
    <w:rsid w:val="00577EE3"/>
    <w:rsid w:val="00577F5E"/>
    <w:rsid w:val="005807CC"/>
    <w:rsid w:val="00580F0A"/>
    <w:rsid w:val="0058109B"/>
    <w:rsid w:val="005811AC"/>
    <w:rsid w:val="005813AC"/>
    <w:rsid w:val="00582085"/>
    <w:rsid w:val="005823FF"/>
    <w:rsid w:val="00582E3E"/>
    <w:rsid w:val="00583126"/>
    <w:rsid w:val="00583F19"/>
    <w:rsid w:val="0058482F"/>
    <w:rsid w:val="00584E4A"/>
    <w:rsid w:val="005850DE"/>
    <w:rsid w:val="005856D0"/>
    <w:rsid w:val="00585AE8"/>
    <w:rsid w:val="00585B12"/>
    <w:rsid w:val="00586485"/>
    <w:rsid w:val="005867A7"/>
    <w:rsid w:val="005869D0"/>
    <w:rsid w:val="005869DF"/>
    <w:rsid w:val="00586E65"/>
    <w:rsid w:val="00586F14"/>
    <w:rsid w:val="0058711C"/>
    <w:rsid w:val="005875E4"/>
    <w:rsid w:val="005877C0"/>
    <w:rsid w:val="00587AA9"/>
    <w:rsid w:val="00587FAF"/>
    <w:rsid w:val="0059028C"/>
    <w:rsid w:val="00590AE7"/>
    <w:rsid w:val="00591048"/>
    <w:rsid w:val="00591DB5"/>
    <w:rsid w:val="005921E5"/>
    <w:rsid w:val="00592665"/>
    <w:rsid w:val="0059307B"/>
    <w:rsid w:val="005942CE"/>
    <w:rsid w:val="005969B6"/>
    <w:rsid w:val="00596B66"/>
    <w:rsid w:val="005974C7"/>
    <w:rsid w:val="00597B64"/>
    <w:rsid w:val="00597FEC"/>
    <w:rsid w:val="005A06DE"/>
    <w:rsid w:val="005A1BF5"/>
    <w:rsid w:val="005A1F41"/>
    <w:rsid w:val="005A20F6"/>
    <w:rsid w:val="005A25A8"/>
    <w:rsid w:val="005A2625"/>
    <w:rsid w:val="005A4E6F"/>
    <w:rsid w:val="005A5035"/>
    <w:rsid w:val="005A52BA"/>
    <w:rsid w:val="005A563E"/>
    <w:rsid w:val="005A633D"/>
    <w:rsid w:val="005A6A1D"/>
    <w:rsid w:val="005A6AA0"/>
    <w:rsid w:val="005A6DA8"/>
    <w:rsid w:val="005A70C7"/>
    <w:rsid w:val="005A72E8"/>
    <w:rsid w:val="005A7903"/>
    <w:rsid w:val="005A7A91"/>
    <w:rsid w:val="005A7EA8"/>
    <w:rsid w:val="005B0514"/>
    <w:rsid w:val="005B0A69"/>
    <w:rsid w:val="005B15A6"/>
    <w:rsid w:val="005B2EFB"/>
    <w:rsid w:val="005B3418"/>
    <w:rsid w:val="005B344E"/>
    <w:rsid w:val="005B37CA"/>
    <w:rsid w:val="005B490F"/>
    <w:rsid w:val="005B4A1A"/>
    <w:rsid w:val="005B5A4E"/>
    <w:rsid w:val="005B65C6"/>
    <w:rsid w:val="005B7FE2"/>
    <w:rsid w:val="005C0257"/>
    <w:rsid w:val="005C0371"/>
    <w:rsid w:val="005C0650"/>
    <w:rsid w:val="005C09A9"/>
    <w:rsid w:val="005C0CA3"/>
    <w:rsid w:val="005C1648"/>
    <w:rsid w:val="005C2433"/>
    <w:rsid w:val="005C2769"/>
    <w:rsid w:val="005C2BE0"/>
    <w:rsid w:val="005C3837"/>
    <w:rsid w:val="005C387F"/>
    <w:rsid w:val="005C3D15"/>
    <w:rsid w:val="005C3DE3"/>
    <w:rsid w:val="005C4441"/>
    <w:rsid w:val="005C4627"/>
    <w:rsid w:val="005C5571"/>
    <w:rsid w:val="005C55B5"/>
    <w:rsid w:val="005C71D9"/>
    <w:rsid w:val="005C725F"/>
    <w:rsid w:val="005C77D3"/>
    <w:rsid w:val="005C79E3"/>
    <w:rsid w:val="005C7A91"/>
    <w:rsid w:val="005C7C96"/>
    <w:rsid w:val="005D0409"/>
    <w:rsid w:val="005D0D65"/>
    <w:rsid w:val="005D106C"/>
    <w:rsid w:val="005D1692"/>
    <w:rsid w:val="005D1F00"/>
    <w:rsid w:val="005D281A"/>
    <w:rsid w:val="005D2AF6"/>
    <w:rsid w:val="005D2D2D"/>
    <w:rsid w:val="005D4F9E"/>
    <w:rsid w:val="005D50DF"/>
    <w:rsid w:val="005D51CE"/>
    <w:rsid w:val="005D5522"/>
    <w:rsid w:val="005D5EDD"/>
    <w:rsid w:val="005D5F95"/>
    <w:rsid w:val="005D6034"/>
    <w:rsid w:val="005D73DA"/>
    <w:rsid w:val="005D75C6"/>
    <w:rsid w:val="005E0A07"/>
    <w:rsid w:val="005E1128"/>
    <w:rsid w:val="005E1C3C"/>
    <w:rsid w:val="005E264F"/>
    <w:rsid w:val="005E2CD6"/>
    <w:rsid w:val="005E3ADA"/>
    <w:rsid w:val="005E3F23"/>
    <w:rsid w:val="005E6232"/>
    <w:rsid w:val="005E6517"/>
    <w:rsid w:val="005E67C2"/>
    <w:rsid w:val="005E6F50"/>
    <w:rsid w:val="005E73C8"/>
    <w:rsid w:val="005F1229"/>
    <w:rsid w:val="005F15DC"/>
    <w:rsid w:val="005F2002"/>
    <w:rsid w:val="005F2416"/>
    <w:rsid w:val="005F35A7"/>
    <w:rsid w:val="005F4853"/>
    <w:rsid w:val="005F4D36"/>
    <w:rsid w:val="005F4E74"/>
    <w:rsid w:val="005F4FF5"/>
    <w:rsid w:val="005F5C5A"/>
    <w:rsid w:val="005F5E00"/>
    <w:rsid w:val="005F6468"/>
    <w:rsid w:val="005F6777"/>
    <w:rsid w:val="005F6938"/>
    <w:rsid w:val="005F6C07"/>
    <w:rsid w:val="005F7090"/>
    <w:rsid w:val="005F746C"/>
    <w:rsid w:val="005F798F"/>
    <w:rsid w:val="006001E9"/>
    <w:rsid w:val="00600274"/>
    <w:rsid w:val="00600696"/>
    <w:rsid w:val="006008A6"/>
    <w:rsid w:val="00600C44"/>
    <w:rsid w:val="00600E15"/>
    <w:rsid w:val="00600E20"/>
    <w:rsid w:val="0060165E"/>
    <w:rsid w:val="006019C0"/>
    <w:rsid w:val="00601F44"/>
    <w:rsid w:val="006029EC"/>
    <w:rsid w:val="00602CEA"/>
    <w:rsid w:val="00603244"/>
    <w:rsid w:val="006051BE"/>
    <w:rsid w:val="00605327"/>
    <w:rsid w:val="006053D0"/>
    <w:rsid w:val="00606364"/>
    <w:rsid w:val="006064EF"/>
    <w:rsid w:val="00606F4E"/>
    <w:rsid w:val="006105F7"/>
    <w:rsid w:val="0061078C"/>
    <w:rsid w:val="0061295C"/>
    <w:rsid w:val="00612C98"/>
    <w:rsid w:val="00612F41"/>
    <w:rsid w:val="00612F50"/>
    <w:rsid w:val="00613473"/>
    <w:rsid w:val="00613FDF"/>
    <w:rsid w:val="00614066"/>
    <w:rsid w:val="00614965"/>
    <w:rsid w:val="00615177"/>
    <w:rsid w:val="0061619D"/>
    <w:rsid w:val="00616CFE"/>
    <w:rsid w:val="00617DFE"/>
    <w:rsid w:val="006202BF"/>
    <w:rsid w:val="00621259"/>
    <w:rsid w:val="00621A6D"/>
    <w:rsid w:val="00621D31"/>
    <w:rsid w:val="00622371"/>
    <w:rsid w:val="00622C38"/>
    <w:rsid w:val="00622F01"/>
    <w:rsid w:val="00622F8B"/>
    <w:rsid w:val="0062460F"/>
    <w:rsid w:val="00624722"/>
    <w:rsid w:val="006255DA"/>
    <w:rsid w:val="00625BEF"/>
    <w:rsid w:val="00625E1C"/>
    <w:rsid w:val="00625F94"/>
    <w:rsid w:val="00626EF5"/>
    <w:rsid w:val="00627890"/>
    <w:rsid w:val="00627EA0"/>
    <w:rsid w:val="006301E0"/>
    <w:rsid w:val="006302EA"/>
    <w:rsid w:val="00630E6C"/>
    <w:rsid w:val="006314B5"/>
    <w:rsid w:val="00631695"/>
    <w:rsid w:val="006318ED"/>
    <w:rsid w:val="00631B35"/>
    <w:rsid w:val="00631FB6"/>
    <w:rsid w:val="00632486"/>
    <w:rsid w:val="00633365"/>
    <w:rsid w:val="0063354D"/>
    <w:rsid w:val="006335BA"/>
    <w:rsid w:val="006340DB"/>
    <w:rsid w:val="006347EF"/>
    <w:rsid w:val="00635542"/>
    <w:rsid w:val="00635798"/>
    <w:rsid w:val="006366E3"/>
    <w:rsid w:val="00636B6B"/>
    <w:rsid w:val="00636D31"/>
    <w:rsid w:val="0063729A"/>
    <w:rsid w:val="00637867"/>
    <w:rsid w:val="00637F25"/>
    <w:rsid w:val="00640272"/>
    <w:rsid w:val="00640A2D"/>
    <w:rsid w:val="00641A32"/>
    <w:rsid w:val="00641AEB"/>
    <w:rsid w:val="00641DF1"/>
    <w:rsid w:val="00644D17"/>
    <w:rsid w:val="0064527C"/>
    <w:rsid w:val="00646128"/>
    <w:rsid w:val="00647680"/>
    <w:rsid w:val="006477D1"/>
    <w:rsid w:val="00647AC0"/>
    <w:rsid w:val="00650990"/>
    <w:rsid w:val="00650AF0"/>
    <w:rsid w:val="00650EB8"/>
    <w:rsid w:val="00651132"/>
    <w:rsid w:val="0065113A"/>
    <w:rsid w:val="006517EA"/>
    <w:rsid w:val="00651FA4"/>
    <w:rsid w:val="00652A69"/>
    <w:rsid w:val="00652F64"/>
    <w:rsid w:val="00653598"/>
    <w:rsid w:val="00653982"/>
    <w:rsid w:val="006539C8"/>
    <w:rsid w:val="00653BAD"/>
    <w:rsid w:val="0065410E"/>
    <w:rsid w:val="006544F4"/>
    <w:rsid w:val="00654AA8"/>
    <w:rsid w:val="00654BD2"/>
    <w:rsid w:val="00654C0D"/>
    <w:rsid w:val="00655D16"/>
    <w:rsid w:val="00656212"/>
    <w:rsid w:val="00656720"/>
    <w:rsid w:val="00656924"/>
    <w:rsid w:val="00657B99"/>
    <w:rsid w:val="0066015D"/>
    <w:rsid w:val="006609EE"/>
    <w:rsid w:val="00660EEE"/>
    <w:rsid w:val="006612FC"/>
    <w:rsid w:val="006634C6"/>
    <w:rsid w:val="006635FC"/>
    <w:rsid w:val="00663642"/>
    <w:rsid w:val="00663651"/>
    <w:rsid w:val="0066378B"/>
    <w:rsid w:val="00663A84"/>
    <w:rsid w:val="00663C31"/>
    <w:rsid w:val="00664546"/>
    <w:rsid w:val="00665A14"/>
    <w:rsid w:val="00666B57"/>
    <w:rsid w:val="006672D6"/>
    <w:rsid w:val="006673E9"/>
    <w:rsid w:val="006674CB"/>
    <w:rsid w:val="00667BF8"/>
    <w:rsid w:val="00667DD3"/>
    <w:rsid w:val="00667ED5"/>
    <w:rsid w:val="00670429"/>
    <w:rsid w:val="006704BC"/>
    <w:rsid w:val="00670758"/>
    <w:rsid w:val="00670B04"/>
    <w:rsid w:val="00670DAF"/>
    <w:rsid w:val="0067196A"/>
    <w:rsid w:val="006719EA"/>
    <w:rsid w:val="00672C41"/>
    <w:rsid w:val="00673163"/>
    <w:rsid w:val="00673190"/>
    <w:rsid w:val="00673362"/>
    <w:rsid w:val="006742D3"/>
    <w:rsid w:val="006745F1"/>
    <w:rsid w:val="006756C0"/>
    <w:rsid w:val="00675969"/>
    <w:rsid w:val="00676785"/>
    <w:rsid w:val="006767FF"/>
    <w:rsid w:val="006772AB"/>
    <w:rsid w:val="006772CA"/>
    <w:rsid w:val="0067780E"/>
    <w:rsid w:val="00677B1E"/>
    <w:rsid w:val="00680AFD"/>
    <w:rsid w:val="00680B45"/>
    <w:rsid w:val="00680B60"/>
    <w:rsid w:val="00680C12"/>
    <w:rsid w:val="00680F24"/>
    <w:rsid w:val="00681434"/>
    <w:rsid w:val="0068172B"/>
    <w:rsid w:val="00681A81"/>
    <w:rsid w:val="00682004"/>
    <w:rsid w:val="00683CD5"/>
    <w:rsid w:val="00683DBC"/>
    <w:rsid w:val="00684505"/>
    <w:rsid w:val="00684B61"/>
    <w:rsid w:val="00684F51"/>
    <w:rsid w:val="0068635D"/>
    <w:rsid w:val="0068779D"/>
    <w:rsid w:val="00687872"/>
    <w:rsid w:val="00687D9C"/>
    <w:rsid w:val="00687F64"/>
    <w:rsid w:val="006913E1"/>
    <w:rsid w:val="006915FC"/>
    <w:rsid w:val="00691B1B"/>
    <w:rsid w:val="00692633"/>
    <w:rsid w:val="00692CB3"/>
    <w:rsid w:val="006934E4"/>
    <w:rsid w:val="00693A39"/>
    <w:rsid w:val="006946B3"/>
    <w:rsid w:val="00695099"/>
    <w:rsid w:val="00695AB7"/>
    <w:rsid w:val="00696AF4"/>
    <w:rsid w:val="00697C2A"/>
    <w:rsid w:val="006A08E7"/>
    <w:rsid w:val="006A25B7"/>
    <w:rsid w:val="006A2683"/>
    <w:rsid w:val="006A30B9"/>
    <w:rsid w:val="006A34CC"/>
    <w:rsid w:val="006A353D"/>
    <w:rsid w:val="006A378B"/>
    <w:rsid w:val="006A53B6"/>
    <w:rsid w:val="006A56BA"/>
    <w:rsid w:val="006A570B"/>
    <w:rsid w:val="006A5D77"/>
    <w:rsid w:val="006A6400"/>
    <w:rsid w:val="006A6426"/>
    <w:rsid w:val="006A6440"/>
    <w:rsid w:val="006B0192"/>
    <w:rsid w:val="006B0862"/>
    <w:rsid w:val="006B0CE3"/>
    <w:rsid w:val="006B11C7"/>
    <w:rsid w:val="006B189A"/>
    <w:rsid w:val="006B1DAD"/>
    <w:rsid w:val="006B233B"/>
    <w:rsid w:val="006B2601"/>
    <w:rsid w:val="006B40AE"/>
    <w:rsid w:val="006B40D4"/>
    <w:rsid w:val="006B4EE5"/>
    <w:rsid w:val="006B57F0"/>
    <w:rsid w:val="006B5959"/>
    <w:rsid w:val="006B59C1"/>
    <w:rsid w:val="006B5D1A"/>
    <w:rsid w:val="006B6107"/>
    <w:rsid w:val="006B6293"/>
    <w:rsid w:val="006B6417"/>
    <w:rsid w:val="006B698D"/>
    <w:rsid w:val="006B6998"/>
    <w:rsid w:val="006B6CFF"/>
    <w:rsid w:val="006B7400"/>
    <w:rsid w:val="006B7789"/>
    <w:rsid w:val="006C0306"/>
    <w:rsid w:val="006C0314"/>
    <w:rsid w:val="006C0BA0"/>
    <w:rsid w:val="006C0C60"/>
    <w:rsid w:val="006C0EC0"/>
    <w:rsid w:val="006C11A4"/>
    <w:rsid w:val="006C129B"/>
    <w:rsid w:val="006C1FAB"/>
    <w:rsid w:val="006C214D"/>
    <w:rsid w:val="006C230D"/>
    <w:rsid w:val="006C2591"/>
    <w:rsid w:val="006C2A21"/>
    <w:rsid w:val="006C2B25"/>
    <w:rsid w:val="006C2B44"/>
    <w:rsid w:val="006C2BDF"/>
    <w:rsid w:val="006C30DF"/>
    <w:rsid w:val="006C31B3"/>
    <w:rsid w:val="006C467E"/>
    <w:rsid w:val="006C46E9"/>
    <w:rsid w:val="006C470B"/>
    <w:rsid w:val="006C533A"/>
    <w:rsid w:val="006C5FA1"/>
    <w:rsid w:val="006C6083"/>
    <w:rsid w:val="006C6127"/>
    <w:rsid w:val="006C6AB8"/>
    <w:rsid w:val="006C6FEB"/>
    <w:rsid w:val="006C73F8"/>
    <w:rsid w:val="006C7610"/>
    <w:rsid w:val="006C7C31"/>
    <w:rsid w:val="006D15CE"/>
    <w:rsid w:val="006D17CB"/>
    <w:rsid w:val="006D22E8"/>
    <w:rsid w:val="006D24AF"/>
    <w:rsid w:val="006D31E7"/>
    <w:rsid w:val="006D32CF"/>
    <w:rsid w:val="006D3879"/>
    <w:rsid w:val="006D3BE0"/>
    <w:rsid w:val="006D4373"/>
    <w:rsid w:val="006D44FD"/>
    <w:rsid w:val="006D5206"/>
    <w:rsid w:val="006D5551"/>
    <w:rsid w:val="006D5AF8"/>
    <w:rsid w:val="006D5BB8"/>
    <w:rsid w:val="006D5DC4"/>
    <w:rsid w:val="006D5ECA"/>
    <w:rsid w:val="006D6619"/>
    <w:rsid w:val="006D680B"/>
    <w:rsid w:val="006D701A"/>
    <w:rsid w:val="006D7486"/>
    <w:rsid w:val="006D7616"/>
    <w:rsid w:val="006D7989"/>
    <w:rsid w:val="006E032E"/>
    <w:rsid w:val="006E070F"/>
    <w:rsid w:val="006E1ADE"/>
    <w:rsid w:val="006E20A5"/>
    <w:rsid w:val="006E280C"/>
    <w:rsid w:val="006E388A"/>
    <w:rsid w:val="006E392C"/>
    <w:rsid w:val="006E3A29"/>
    <w:rsid w:val="006E414B"/>
    <w:rsid w:val="006E4382"/>
    <w:rsid w:val="006E50EA"/>
    <w:rsid w:val="006E5286"/>
    <w:rsid w:val="006E55CF"/>
    <w:rsid w:val="006E58A5"/>
    <w:rsid w:val="006E5F37"/>
    <w:rsid w:val="006E67C3"/>
    <w:rsid w:val="006E6D6F"/>
    <w:rsid w:val="006E7218"/>
    <w:rsid w:val="006E77EB"/>
    <w:rsid w:val="006E7B15"/>
    <w:rsid w:val="006E7EA7"/>
    <w:rsid w:val="006F01E5"/>
    <w:rsid w:val="006F0B3C"/>
    <w:rsid w:val="006F0E1F"/>
    <w:rsid w:val="006F1254"/>
    <w:rsid w:val="006F2411"/>
    <w:rsid w:val="006F316E"/>
    <w:rsid w:val="006F3945"/>
    <w:rsid w:val="006F3FE3"/>
    <w:rsid w:val="006F4FB2"/>
    <w:rsid w:val="006F5150"/>
    <w:rsid w:val="006F62E2"/>
    <w:rsid w:val="006F659E"/>
    <w:rsid w:val="006F6B76"/>
    <w:rsid w:val="006F6C73"/>
    <w:rsid w:val="006F7023"/>
    <w:rsid w:val="006F784F"/>
    <w:rsid w:val="0070046D"/>
    <w:rsid w:val="0070084C"/>
    <w:rsid w:val="00700D58"/>
    <w:rsid w:val="00701C7D"/>
    <w:rsid w:val="00702109"/>
    <w:rsid w:val="0070226C"/>
    <w:rsid w:val="00702BC4"/>
    <w:rsid w:val="007032D2"/>
    <w:rsid w:val="00703349"/>
    <w:rsid w:val="00705324"/>
    <w:rsid w:val="0070533C"/>
    <w:rsid w:val="007056C9"/>
    <w:rsid w:val="00705A59"/>
    <w:rsid w:val="00705B96"/>
    <w:rsid w:val="00706421"/>
    <w:rsid w:val="0070706F"/>
    <w:rsid w:val="007071BF"/>
    <w:rsid w:val="007110B4"/>
    <w:rsid w:val="00711171"/>
    <w:rsid w:val="00711336"/>
    <w:rsid w:val="00711786"/>
    <w:rsid w:val="00711BCC"/>
    <w:rsid w:val="007121FA"/>
    <w:rsid w:val="007123A2"/>
    <w:rsid w:val="0071263A"/>
    <w:rsid w:val="007126FC"/>
    <w:rsid w:val="007128A0"/>
    <w:rsid w:val="007129A3"/>
    <w:rsid w:val="00713B5E"/>
    <w:rsid w:val="00713E44"/>
    <w:rsid w:val="00713E91"/>
    <w:rsid w:val="00714035"/>
    <w:rsid w:val="0071407F"/>
    <w:rsid w:val="0071439A"/>
    <w:rsid w:val="007146D8"/>
    <w:rsid w:val="00714CAE"/>
    <w:rsid w:val="00715044"/>
    <w:rsid w:val="0071534C"/>
    <w:rsid w:val="007155B8"/>
    <w:rsid w:val="007158CC"/>
    <w:rsid w:val="0071623D"/>
    <w:rsid w:val="00716306"/>
    <w:rsid w:val="007165CF"/>
    <w:rsid w:val="00716832"/>
    <w:rsid w:val="00716B28"/>
    <w:rsid w:val="00716F4D"/>
    <w:rsid w:val="00717573"/>
    <w:rsid w:val="007175A0"/>
    <w:rsid w:val="0071761C"/>
    <w:rsid w:val="00717B0C"/>
    <w:rsid w:val="007200E4"/>
    <w:rsid w:val="007207FB"/>
    <w:rsid w:val="00721E63"/>
    <w:rsid w:val="00722A0B"/>
    <w:rsid w:val="00722C18"/>
    <w:rsid w:val="00722CE0"/>
    <w:rsid w:val="007235CD"/>
    <w:rsid w:val="00723A89"/>
    <w:rsid w:val="00724FBB"/>
    <w:rsid w:val="00724FE8"/>
    <w:rsid w:val="00725649"/>
    <w:rsid w:val="00725899"/>
    <w:rsid w:val="007265B7"/>
    <w:rsid w:val="0072684F"/>
    <w:rsid w:val="00727B89"/>
    <w:rsid w:val="0073001D"/>
    <w:rsid w:val="007301C2"/>
    <w:rsid w:val="00730BFF"/>
    <w:rsid w:val="007314DD"/>
    <w:rsid w:val="00731CF5"/>
    <w:rsid w:val="00732092"/>
    <w:rsid w:val="0073241E"/>
    <w:rsid w:val="007338BA"/>
    <w:rsid w:val="00733B83"/>
    <w:rsid w:val="00734883"/>
    <w:rsid w:val="00734CCC"/>
    <w:rsid w:val="00735B7D"/>
    <w:rsid w:val="007364BC"/>
    <w:rsid w:val="00736D4A"/>
    <w:rsid w:val="00740B39"/>
    <w:rsid w:val="007411D3"/>
    <w:rsid w:val="0074144C"/>
    <w:rsid w:val="00741580"/>
    <w:rsid w:val="00741669"/>
    <w:rsid w:val="0074253B"/>
    <w:rsid w:val="007427C0"/>
    <w:rsid w:val="00742B0B"/>
    <w:rsid w:val="00742C85"/>
    <w:rsid w:val="007432A5"/>
    <w:rsid w:val="00744674"/>
    <w:rsid w:val="00745365"/>
    <w:rsid w:val="007454B8"/>
    <w:rsid w:val="0074577B"/>
    <w:rsid w:val="00745EEC"/>
    <w:rsid w:val="0074641B"/>
    <w:rsid w:val="0074641D"/>
    <w:rsid w:val="00747614"/>
    <w:rsid w:val="00750AA6"/>
    <w:rsid w:val="0075148E"/>
    <w:rsid w:val="00751E2C"/>
    <w:rsid w:val="00751E65"/>
    <w:rsid w:val="0075280A"/>
    <w:rsid w:val="00752929"/>
    <w:rsid w:val="00755570"/>
    <w:rsid w:val="00755621"/>
    <w:rsid w:val="00755832"/>
    <w:rsid w:val="00755F68"/>
    <w:rsid w:val="0075603F"/>
    <w:rsid w:val="00756B7A"/>
    <w:rsid w:val="00756CDF"/>
    <w:rsid w:val="00756F97"/>
    <w:rsid w:val="00756FC4"/>
    <w:rsid w:val="00757079"/>
    <w:rsid w:val="00757966"/>
    <w:rsid w:val="00760D6C"/>
    <w:rsid w:val="00762CD4"/>
    <w:rsid w:val="007630CB"/>
    <w:rsid w:val="00764046"/>
    <w:rsid w:val="00764F36"/>
    <w:rsid w:val="0076513E"/>
    <w:rsid w:val="0076536E"/>
    <w:rsid w:val="007658A0"/>
    <w:rsid w:val="00765D1F"/>
    <w:rsid w:val="0076658C"/>
    <w:rsid w:val="00767402"/>
    <w:rsid w:val="00767415"/>
    <w:rsid w:val="00767513"/>
    <w:rsid w:val="00767BE2"/>
    <w:rsid w:val="00770604"/>
    <w:rsid w:val="00770649"/>
    <w:rsid w:val="00771126"/>
    <w:rsid w:val="00771146"/>
    <w:rsid w:val="00771447"/>
    <w:rsid w:val="0077180A"/>
    <w:rsid w:val="00772567"/>
    <w:rsid w:val="007728D8"/>
    <w:rsid w:val="00772A7F"/>
    <w:rsid w:val="00772D64"/>
    <w:rsid w:val="007732CD"/>
    <w:rsid w:val="0077350E"/>
    <w:rsid w:val="0077352D"/>
    <w:rsid w:val="007735DB"/>
    <w:rsid w:val="00773E44"/>
    <w:rsid w:val="00773E70"/>
    <w:rsid w:val="0077412B"/>
    <w:rsid w:val="00774261"/>
    <w:rsid w:val="0077483C"/>
    <w:rsid w:val="007751AB"/>
    <w:rsid w:val="00775541"/>
    <w:rsid w:val="00775A2A"/>
    <w:rsid w:val="00775C7E"/>
    <w:rsid w:val="0077658A"/>
    <w:rsid w:val="007767A8"/>
    <w:rsid w:val="00776A1B"/>
    <w:rsid w:val="00776F11"/>
    <w:rsid w:val="00777186"/>
    <w:rsid w:val="007776E4"/>
    <w:rsid w:val="007808D6"/>
    <w:rsid w:val="00780BF6"/>
    <w:rsid w:val="00780F58"/>
    <w:rsid w:val="007810D0"/>
    <w:rsid w:val="007811A6"/>
    <w:rsid w:val="00781726"/>
    <w:rsid w:val="007820D5"/>
    <w:rsid w:val="007823E4"/>
    <w:rsid w:val="00782CE7"/>
    <w:rsid w:val="00783260"/>
    <w:rsid w:val="00783466"/>
    <w:rsid w:val="0078365A"/>
    <w:rsid w:val="0078432F"/>
    <w:rsid w:val="0078463F"/>
    <w:rsid w:val="0078495E"/>
    <w:rsid w:val="00784A62"/>
    <w:rsid w:val="00784B52"/>
    <w:rsid w:val="0078557D"/>
    <w:rsid w:val="00785722"/>
    <w:rsid w:val="007863D4"/>
    <w:rsid w:val="00786529"/>
    <w:rsid w:val="0078750E"/>
    <w:rsid w:val="00787E42"/>
    <w:rsid w:val="00790D41"/>
    <w:rsid w:val="007914D8"/>
    <w:rsid w:val="0079150B"/>
    <w:rsid w:val="007916A2"/>
    <w:rsid w:val="00791758"/>
    <w:rsid w:val="007919DC"/>
    <w:rsid w:val="007926AF"/>
    <w:rsid w:val="0079348F"/>
    <w:rsid w:val="0079365C"/>
    <w:rsid w:val="00793881"/>
    <w:rsid w:val="00793BA5"/>
    <w:rsid w:val="00793BCC"/>
    <w:rsid w:val="00794425"/>
    <w:rsid w:val="00794E9C"/>
    <w:rsid w:val="0079590E"/>
    <w:rsid w:val="00795CDB"/>
    <w:rsid w:val="00795F12"/>
    <w:rsid w:val="0079687D"/>
    <w:rsid w:val="00797847"/>
    <w:rsid w:val="00797BFE"/>
    <w:rsid w:val="007A051B"/>
    <w:rsid w:val="007A10CC"/>
    <w:rsid w:val="007A1345"/>
    <w:rsid w:val="007A1D8F"/>
    <w:rsid w:val="007A20BF"/>
    <w:rsid w:val="007A241C"/>
    <w:rsid w:val="007A27EC"/>
    <w:rsid w:val="007A2E14"/>
    <w:rsid w:val="007A3372"/>
    <w:rsid w:val="007A49BF"/>
    <w:rsid w:val="007A536A"/>
    <w:rsid w:val="007A54E5"/>
    <w:rsid w:val="007A5510"/>
    <w:rsid w:val="007A5765"/>
    <w:rsid w:val="007A6020"/>
    <w:rsid w:val="007A6028"/>
    <w:rsid w:val="007A63FA"/>
    <w:rsid w:val="007A7780"/>
    <w:rsid w:val="007A7864"/>
    <w:rsid w:val="007B1051"/>
    <w:rsid w:val="007B1138"/>
    <w:rsid w:val="007B3F67"/>
    <w:rsid w:val="007B5C9F"/>
    <w:rsid w:val="007B5E93"/>
    <w:rsid w:val="007B6245"/>
    <w:rsid w:val="007B6C7B"/>
    <w:rsid w:val="007B760F"/>
    <w:rsid w:val="007C00DF"/>
    <w:rsid w:val="007C066E"/>
    <w:rsid w:val="007C1750"/>
    <w:rsid w:val="007C1EC8"/>
    <w:rsid w:val="007C2BF6"/>
    <w:rsid w:val="007C33A7"/>
    <w:rsid w:val="007C3607"/>
    <w:rsid w:val="007C3F13"/>
    <w:rsid w:val="007C589E"/>
    <w:rsid w:val="007C5AB1"/>
    <w:rsid w:val="007C5B1D"/>
    <w:rsid w:val="007C5C5E"/>
    <w:rsid w:val="007C7678"/>
    <w:rsid w:val="007C77A4"/>
    <w:rsid w:val="007C7CD6"/>
    <w:rsid w:val="007C7D01"/>
    <w:rsid w:val="007C7EB2"/>
    <w:rsid w:val="007D12EC"/>
    <w:rsid w:val="007D1393"/>
    <w:rsid w:val="007D1FAF"/>
    <w:rsid w:val="007D2E18"/>
    <w:rsid w:val="007D32D4"/>
    <w:rsid w:val="007D34EE"/>
    <w:rsid w:val="007D3BA7"/>
    <w:rsid w:val="007D4225"/>
    <w:rsid w:val="007D42D8"/>
    <w:rsid w:val="007D4503"/>
    <w:rsid w:val="007D456B"/>
    <w:rsid w:val="007D4D60"/>
    <w:rsid w:val="007D536C"/>
    <w:rsid w:val="007D54D0"/>
    <w:rsid w:val="007D59B9"/>
    <w:rsid w:val="007D7B18"/>
    <w:rsid w:val="007D7D9F"/>
    <w:rsid w:val="007E009A"/>
    <w:rsid w:val="007E0304"/>
    <w:rsid w:val="007E0D04"/>
    <w:rsid w:val="007E0F60"/>
    <w:rsid w:val="007E0FC5"/>
    <w:rsid w:val="007E1267"/>
    <w:rsid w:val="007E133A"/>
    <w:rsid w:val="007E21DB"/>
    <w:rsid w:val="007E2335"/>
    <w:rsid w:val="007E29A3"/>
    <w:rsid w:val="007E3580"/>
    <w:rsid w:val="007E3726"/>
    <w:rsid w:val="007E375B"/>
    <w:rsid w:val="007E3827"/>
    <w:rsid w:val="007E4231"/>
    <w:rsid w:val="007E448F"/>
    <w:rsid w:val="007E55D7"/>
    <w:rsid w:val="007E6035"/>
    <w:rsid w:val="007E6919"/>
    <w:rsid w:val="007E698A"/>
    <w:rsid w:val="007E6CA9"/>
    <w:rsid w:val="007E737D"/>
    <w:rsid w:val="007F03D5"/>
    <w:rsid w:val="007F04A1"/>
    <w:rsid w:val="007F0604"/>
    <w:rsid w:val="007F0A51"/>
    <w:rsid w:val="007F0D52"/>
    <w:rsid w:val="007F0DC3"/>
    <w:rsid w:val="007F111C"/>
    <w:rsid w:val="007F1779"/>
    <w:rsid w:val="007F17F3"/>
    <w:rsid w:val="007F1DD7"/>
    <w:rsid w:val="007F1E74"/>
    <w:rsid w:val="007F1EFC"/>
    <w:rsid w:val="007F2231"/>
    <w:rsid w:val="007F2BD6"/>
    <w:rsid w:val="007F320F"/>
    <w:rsid w:val="007F3852"/>
    <w:rsid w:val="007F424E"/>
    <w:rsid w:val="007F51D7"/>
    <w:rsid w:val="007F5AA2"/>
    <w:rsid w:val="007F5BF7"/>
    <w:rsid w:val="007F608B"/>
    <w:rsid w:val="007F6510"/>
    <w:rsid w:val="007F7319"/>
    <w:rsid w:val="007F7EE7"/>
    <w:rsid w:val="008008C6"/>
    <w:rsid w:val="008009B5"/>
    <w:rsid w:val="00800CB5"/>
    <w:rsid w:val="00800FED"/>
    <w:rsid w:val="00802211"/>
    <w:rsid w:val="0080365E"/>
    <w:rsid w:val="00803771"/>
    <w:rsid w:val="00803BFD"/>
    <w:rsid w:val="00804E17"/>
    <w:rsid w:val="00805291"/>
    <w:rsid w:val="00805865"/>
    <w:rsid w:val="00806933"/>
    <w:rsid w:val="0080744D"/>
    <w:rsid w:val="008078B2"/>
    <w:rsid w:val="0080793D"/>
    <w:rsid w:val="0080797F"/>
    <w:rsid w:val="0081033D"/>
    <w:rsid w:val="008103F3"/>
    <w:rsid w:val="0081077E"/>
    <w:rsid w:val="0081121E"/>
    <w:rsid w:val="008116FD"/>
    <w:rsid w:val="00811CAF"/>
    <w:rsid w:val="00811CB4"/>
    <w:rsid w:val="00811CE3"/>
    <w:rsid w:val="008120A3"/>
    <w:rsid w:val="00812224"/>
    <w:rsid w:val="00812425"/>
    <w:rsid w:val="00812C9A"/>
    <w:rsid w:val="008130FB"/>
    <w:rsid w:val="0081404E"/>
    <w:rsid w:val="00814222"/>
    <w:rsid w:val="0081553C"/>
    <w:rsid w:val="00815BD1"/>
    <w:rsid w:val="00815C73"/>
    <w:rsid w:val="00816097"/>
    <w:rsid w:val="0081664C"/>
    <w:rsid w:val="008166A2"/>
    <w:rsid w:val="00816778"/>
    <w:rsid w:val="00817E7F"/>
    <w:rsid w:val="00817EB5"/>
    <w:rsid w:val="008214FC"/>
    <w:rsid w:val="00821AF8"/>
    <w:rsid w:val="00824167"/>
    <w:rsid w:val="00824451"/>
    <w:rsid w:val="008245F0"/>
    <w:rsid w:val="00824E91"/>
    <w:rsid w:val="00825AF6"/>
    <w:rsid w:val="00825CD1"/>
    <w:rsid w:val="00825F1F"/>
    <w:rsid w:val="00826720"/>
    <w:rsid w:val="00826A62"/>
    <w:rsid w:val="00827600"/>
    <w:rsid w:val="00827D85"/>
    <w:rsid w:val="008301D2"/>
    <w:rsid w:val="00830D4A"/>
    <w:rsid w:val="00831094"/>
    <w:rsid w:val="008310D4"/>
    <w:rsid w:val="008313E4"/>
    <w:rsid w:val="00831C72"/>
    <w:rsid w:val="00831FAE"/>
    <w:rsid w:val="00832267"/>
    <w:rsid w:val="00832710"/>
    <w:rsid w:val="008329DB"/>
    <w:rsid w:val="00833403"/>
    <w:rsid w:val="008337C4"/>
    <w:rsid w:val="00833E0A"/>
    <w:rsid w:val="00833FE9"/>
    <w:rsid w:val="00834AD9"/>
    <w:rsid w:val="008361C7"/>
    <w:rsid w:val="00836CFF"/>
    <w:rsid w:val="00837371"/>
    <w:rsid w:val="008375B9"/>
    <w:rsid w:val="008375C0"/>
    <w:rsid w:val="008406C0"/>
    <w:rsid w:val="00840FE9"/>
    <w:rsid w:val="0084102C"/>
    <w:rsid w:val="00842068"/>
    <w:rsid w:val="0084207D"/>
    <w:rsid w:val="00842485"/>
    <w:rsid w:val="00842F5C"/>
    <w:rsid w:val="0084332F"/>
    <w:rsid w:val="00843D12"/>
    <w:rsid w:val="00843FC4"/>
    <w:rsid w:val="0084465A"/>
    <w:rsid w:val="008450BB"/>
    <w:rsid w:val="00845168"/>
    <w:rsid w:val="00845266"/>
    <w:rsid w:val="0084534C"/>
    <w:rsid w:val="00845763"/>
    <w:rsid w:val="00845A06"/>
    <w:rsid w:val="00846313"/>
    <w:rsid w:val="00846844"/>
    <w:rsid w:val="00846A59"/>
    <w:rsid w:val="00850022"/>
    <w:rsid w:val="0085004B"/>
    <w:rsid w:val="008500E2"/>
    <w:rsid w:val="00850353"/>
    <w:rsid w:val="00850408"/>
    <w:rsid w:val="008507F5"/>
    <w:rsid w:val="00851370"/>
    <w:rsid w:val="008514B5"/>
    <w:rsid w:val="00851C11"/>
    <w:rsid w:val="00852570"/>
    <w:rsid w:val="00852589"/>
    <w:rsid w:val="00852B14"/>
    <w:rsid w:val="008531C2"/>
    <w:rsid w:val="00853268"/>
    <w:rsid w:val="0085362A"/>
    <w:rsid w:val="008542B7"/>
    <w:rsid w:val="0085430D"/>
    <w:rsid w:val="00854C59"/>
    <w:rsid w:val="0085524C"/>
    <w:rsid w:val="008558D8"/>
    <w:rsid w:val="00855F29"/>
    <w:rsid w:val="008561B0"/>
    <w:rsid w:val="00856331"/>
    <w:rsid w:val="0085709F"/>
    <w:rsid w:val="00857A3E"/>
    <w:rsid w:val="00857B7C"/>
    <w:rsid w:val="00857B89"/>
    <w:rsid w:val="00857FC6"/>
    <w:rsid w:val="008600B3"/>
    <w:rsid w:val="008607CE"/>
    <w:rsid w:val="00861F6B"/>
    <w:rsid w:val="00862842"/>
    <w:rsid w:val="00862979"/>
    <w:rsid w:val="00862D26"/>
    <w:rsid w:val="00864122"/>
    <w:rsid w:val="0086416C"/>
    <w:rsid w:val="00865501"/>
    <w:rsid w:val="00865622"/>
    <w:rsid w:val="008664F4"/>
    <w:rsid w:val="00866902"/>
    <w:rsid w:val="00866BB3"/>
    <w:rsid w:val="0086774A"/>
    <w:rsid w:val="008678E7"/>
    <w:rsid w:val="0087035D"/>
    <w:rsid w:val="00871115"/>
    <w:rsid w:val="00871117"/>
    <w:rsid w:val="00871AF7"/>
    <w:rsid w:val="00871D33"/>
    <w:rsid w:val="0087342A"/>
    <w:rsid w:val="00873778"/>
    <w:rsid w:val="008737D1"/>
    <w:rsid w:val="00873894"/>
    <w:rsid w:val="00873DE6"/>
    <w:rsid w:val="00873EF5"/>
    <w:rsid w:val="008744F8"/>
    <w:rsid w:val="00875005"/>
    <w:rsid w:val="00875DDA"/>
    <w:rsid w:val="008761FE"/>
    <w:rsid w:val="00880AA3"/>
    <w:rsid w:val="00880C6F"/>
    <w:rsid w:val="00880D99"/>
    <w:rsid w:val="00881817"/>
    <w:rsid w:val="00881C1B"/>
    <w:rsid w:val="008822EB"/>
    <w:rsid w:val="00883914"/>
    <w:rsid w:val="00884518"/>
    <w:rsid w:val="0088455F"/>
    <w:rsid w:val="008852F4"/>
    <w:rsid w:val="008853C2"/>
    <w:rsid w:val="0088549E"/>
    <w:rsid w:val="008855E7"/>
    <w:rsid w:val="008857F7"/>
    <w:rsid w:val="00885E6C"/>
    <w:rsid w:val="008862F4"/>
    <w:rsid w:val="00886442"/>
    <w:rsid w:val="00886499"/>
    <w:rsid w:val="00886764"/>
    <w:rsid w:val="0089095D"/>
    <w:rsid w:val="00890CE5"/>
    <w:rsid w:val="008912E3"/>
    <w:rsid w:val="00891DA5"/>
    <w:rsid w:val="00891DFD"/>
    <w:rsid w:val="00892D8A"/>
    <w:rsid w:val="0089332C"/>
    <w:rsid w:val="00893C7D"/>
    <w:rsid w:val="00894DB4"/>
    <w:rsid w:val="00895187"/>
    <w:rsid w:val="008953F3"/>
    <w:rsid w:val="00896469"/>
    <w:rsid w:val="00896B94"/>
    <w:rsid w:val="00896E84"/>
    <w:rsid w:val="00896F23"/>
    <w:rsid w:val="008972BB"/>
    <w:rsid w:val="00897DB0"/>
    <w:rsid w:val="00897DF2"/>
    <w:rsid w:val="008A0542"/>
    <w:rsid w:val="008A11C1"/>
    <w:rsid w:val="008A18D8"/>
    <w:rsid w:val="008A4078"/>
    <w:rsid w:val="008A5562"/>
    <w:rsid w:val="008A5759"/>
    <w:rsid w:val="008A5A29"/>
    <w:rsid w:val="008A5DED"/>
    <w:rsid w:val="008A604E"/>
    <w:rsid w:val="008A6F8C"/>
    <w:rsid w:val="008B009E"/>
    <w:rsid w:val="008B01C4"/>
    <w:rsid w:val="008B0895"/>
    <w:rsid w:val="008B110B"/>
    <w:rsid w:val="008B16DC"/>
    <w:rsid w:val="008B200E"/>
    <w:rsid w:val="008B25E3"/>
    <w:rsid w:val="008B2FCB"/>
    <w:rsid w:val="008B31B7"/>
    <w:rsid w:val="008B33D2"/>
    <w:rsid w:val="008B37E4"/>
    <w:rsid w:val="008B38D1"/>
    <w:rsid w:val="008B5049"/>
    <w:rsid w:val="008B56A4"/>
    <w:rsid w:val="008B7385"/>
    <w:rsid w:val="008C04F8"/>
    <w:rsid w:val="008C05D0"/>
    <w:rsid w:val="008C104C"/>
    <w:rsid w:val="008C18A0"/>
    <w:rsid w:val="008C226E"/>
    <w:rsid w:val="008C2690"/>
    <w:rsid w:val="008C2E70"/>
    <w:rsid w:val="008C471E"/>
    <w:rsid w:val="008C4E8D"/>
    <w:rsid w:val="008C4FB5"/>
    <w:rsid w:val="008C53FA"/>
    <w:rsid w:val="008C5436"/>
    <w:rsid w:val="008C59EA"/>
    <w:rsid w:val="008C5CC4"/>
    <w:rsid w:val="008C5EAB"/>
    <w:rsid w:val="008C5F2D"/>
    <w:rsid w:val="008C6B0D"/>
    <w:rsid w:val="008C6C89"/>
    <w:rsid w:val="008C6D36"/>
    <w:rsid w:val="008C72A8"/>
    <w:rsid w:val="008C7591"/>
    <w:rsid w:val="008D04A2"/>
    <w:rsid w:val="008D054B"/>
    <w:rsid w:val="008D0ABC"/>
    <w:rsid w:val="008D0CF4"/>
    <w:rsid w:val="008D1C41"/>
    <w:rsid w:val="008D1DCE"/>
    <w:rsid w:val="008D1E5F"/>
    <w:rsid w:val="008D1F83"/>
    <w:rsid w:val="008D2C22"/>
    <w:rsid w:val="008D3637"/>
    <w:rsid w:val="008D38FF"/>
    <w:rsid w:val="008D407B"/>
    <w:rsid w:val="008D4BFC"/>
    <w:rsid w:val="008D605E"/>
    <w:rsid w:val="008D6636"/>
    <w:rsid w:val="008D6A2A"/>
    <w:rsid w:val="008D6F30"/>
    <w:rsid w:val="008D6F8A"/>
    <w:rsid w:val="008D7EE4"/>
    <w:rsid w:val="008E0195"/>
    <w:rsid w:val="008E0420"/>
    <w:rsid w:val="008E04BC"/>
    <w:rsid w:val="008E0D14"/>
    <w:rsid w:val="008E1041"/>
    <w:rsid w:val="008E1458"/>
    <w:rsid w:val="008E1BE6"/>
    <w:rsid w:val="008E2949"/>
    <w:rsid w:val="008E3709"/>
    <w:rsid w:val="008E3EF7"/>
    <w:rsid w:val="008E502A"/>
    <w:rsid w:val="008E61DE"/>
    <w:rsid w:val="008E74B5"/>
    <w:rsid w:val="008E7566"/>
    <w:rsid w:val="008E770A"/>
    <w:rsid w:val="008E79C5"/>
    <w:rsid w:val="008E7C35"/>
    <w:rsid w:val="008E7D77"/>
    <w:rsid w:val="008F01DA"/>
    <w:rsid w:val="008F031F"/>
    <w:rsid w:val="008F04B7"/>
    <w:rsid w:val="008F0A9A"/>
    <w:rsid w:val="008F0B39"/>
    <w:rsid w:val="008F134B"/>
    <w:rsid w:val="008F1721"/>
    <w:rsid w:val="008F1788"/>
    <w:rsid w:val="008F1CA0"/>
    <w:rsid w:val="008F2563"/>
    <w:rsid w:val="008F2CE4"/>
    <w:rsid w:val="008F3C2A"/>
    <w:rsid w:val="008F4479"/>
    <w:rsid w:val="008F4547"/>
    <w:rsid w:val="008F460B"/>
    <w:rsid w:val="008F5629"/>
    <w:rsid w:val="008F5D80"/>
    <w:rsid w:val="008F64B2"/>
    <w:rsid w:val="008F67D5"/>
    <w:rsid w:val="008F6A8F"/>
    <w:rsid w:val="008F6B61"/>
    <w:rsid w:val="00900ACB"/>
    <w:rsid w:val="0090126E"/>
    <w:rsid w:val="0090134A"/>
    <w:rsid w:val="00901ED3"/>
    <w:rsid w:val="0090207C"/>
    <w:rsid w:val="009021F6"/>
    <w:rsid w:val="00902610"/>
    <w:rsid w:val="00902B10"/>
    <w:rsid w:val="00903447"/>
    <w:rsid w:val="00903C2B"/>
    <w:rsid w:val="009044C8"/>
    <w:rsid w:val="00905514"/>
    <w:rsid w:val="00905B3E"/>
    <w:rsid w:val="00906133"/>
    <w:rsid w:val="0090635C"/>
    <w:rsid w:val="00906C15"/>
    <w:rsid w:val="00906D02"/>
    <w:rsid w:val="00907323"/>
    <w:rsid w:val="00907881"/>
    <w:rsid w:val="0091024E"/>
    <w:rsid w:val="009103F9"/>
    <w:rsid w:val="009105B5"/>
    <w:rsid w:val="00910A7D"/>
    <w:rsid w:val="00910FB9"/>
    <w:rsid w:val="0091131B"/>
    <w:rsid w:val="00911609"/>
    <w:rsid w:val="00911682"/>
    <w:rsid w:val="009117BD"/>
    <w:rsid w:val="00911941"/>
    <w:rsid w:val="00911DC8"/>
    <w:rsid w:val="00912229"/>
    <w:rsid w:val="00913545"/>
    <w:rsid w:val="009145EC"/>
    <w:rsid w:val="00914808"/>
    <w:rsid w:val="00914EF7"/>
    <w:rsid w:val="00915519"/>
    <w:rsid w:val="00915C9E"/>
    <w:rsid w:val="00915DFA"/>
    <w:rsid w:val="00915E37"/>
    <w:rsid w:val="0091616B"/>
    <w:rsid w:val="009163E0"/>
    <w:rsid w:val="009166BA"/>
    <w:rsid w:val="00917230"/>
    <w:rsid w:val="00917B63"/>
    <w:rsid w:val="009202B5"/>
    <w:rsid w:val="00920365"/>
    <w:rsid w:val="009203AD"/>
    <w:rsid w:val="00920408"/>
    <w:rsid w:val="00920557"/>
    <w:rsid w:val="009206F3"/>
    <w:rsid w:val="00920ED7"/>
    <w:rsid w:val="009210F5"/>
    <w:rsid w:val="009216F8"/>
    <w:rsid w:val="00921802"/>
    <w:rsid w:val="00921932"/>
    <w:rsid w:val="00922128"/>
    <w:rsid w:val="00922EA3"/>
    <w:rsid w:val="00922FB2"/>
    <w:rsid w:val="009233AA"/>
    <w:rsid w:val="009233BE"/>
    <w:rsid w:val="009236AD"/>
    <w:rsid w:val="00924EC3"/>
    <w:rsid w:val="0092535D"/>
    <w:rsid w:val="00925B7E"/>
    <w:rsid w:val="0092639D"/>
    <w:rsid w:val="00927429"/>
    <w:rsid w:val="00927515"/>
    <w:rsid w:val="00927871"/>
    <w:rsid w:val="0093057B"/>
    <w:rsid w:val="00930E00"/>
    <w:rsid w:val="00930EE5"/>
    <w:rsid w:val="00931786"/>
    <w:rsid w:val="009320BC"/>
    <w:rsid w:val="00933126"/>
    <w:rsid w:val="0093362D"/>
    <w:rsid w:val="00933E69"/>
    <w:rsid w:val="009347D9"/>
    <w:rsid w:val="00934FF3"/>
    <w:rsid w:val="00935624"/>
    <w:rsid w:val="009356EC"/>
    <w:rsid w:val="009359A5"/>
    <w:rsid w:val="00935ED3"/>
    <w:rsid w:val="00935FD8"/>
    <w:rsid w:val="009364E8"/>
    <w:rsid w:val="0093659F"/>
    <w:rsid w:val="00936C4E"/>
    <w:rsid w:val="009375E5"/>
    <w:rsid w:val="009376F2"/>
    <w:rsid w:val="0094038D"/>
    <w:rsid w:val="009407AC"/>
    <w:rsid w:val="00940B6A"/>
    <w:rsid w:val="00940E6C"/>
    <w:rsid w:val="0094133A"/>
    <w:rsid w:val="00942338"/>
    <w:rsid w:val="009424F4"/>
    <w:rsid w:val="009426FF"/>
    <w:rsid w:val="00942A0D"/>
    <w:rsid w:val="00942E08"/>
    <w:rsid w:val="0094387D"/>
    <w:rsid w:val="00943FA3"/>
    <w:rsid w:val="00945967"/>
    <w:rsid w:val="00945A08"/>
    <w:rsid w:val="00945A2F"/>
    <w:rsid w:val="00945CFD"/>
    <w:rsid w:val="00946175"/>
    <w:rsid w:val="009463B8"/>
    <w:rsid w:val="009467EA"/>
    <w:rsid w:val="0094682D"/>
    <w:rsid w:val="0094695E"/>
    <w:rsid w:val="009469BE"/>
    <w:rsid w:val="00946AF3"/>
    <w:rsid w:val="00946C87"/>
    <w:rsid w:val="0095035E"/>
    <w:rsid w:val="00950A11"/>
    <w:rsid w:val="009515DC"/>
    <w:rsid w:val="00951EC6"/>
    <w:rsid w:val="009524BC"/>
    <w:rsid w:val="0095250F"/>
    <w:rsid w:val="009529F6"/>
    <w:rsid w:val="009532ED"/>
    <w:rsid w:val="0095376D"/>
    <w:rsid w:val="009538CC"/>
    <w:rsid w:val="00953AF9"/>
    <w:rsid w:val="009545E0"/>
    <w:rsid w:val="00954897"/>
    <w:rsid w:val="00955869"/>
    <w:rsid w:val="00955BA7"/>
    <w:rsid w:val="00955E0A"/>
    <w:rsid w:val="00955EBA"/>
    <w:rsid w:val="009568A6"/>
    <w:rsid w:val="00956A44"/>
    <w:rsid w:val="00956A4D"/>
    <w:rsid w:val="009571BA"/>
    <w:rsid w:val="009576DF"/>
    <w:rsid w:val="00957856"/>
    <w:rsid w:val="00957BEF"/>
    <w:rsid w:val="00957D98"/>
    <w:rsid w:val="0096096F"/>
    <w:rsid w:val="0096151B"/>
    <w:rsid w:val="00961663"/>
    <w:rsid w:val="00961C04"/>
    <w:rsid w:val="0096270C"/>
    <w:rsid w:val="00964473"/>
    <w:rsid w:val="0096481D"/>
    <w:rsid w:val="00965093"/>
    <w:rsid w:val="00965100"/>
    <w:rsid w:val="009652F5"/>
    <w:rsid w:val="0096540A"/>
    <w:rsid w:val="0096543F"/>
    <w:rsid w:val="009658E6"/>
    <w:rsid w:val="009661E2"/>
    <w:rsid w:val="009667EF"/>
    <w:rsid w:val="009679E3"/>
    <w:rsid w:val="0097061E"/>
    <w:rsid w:val="009706A0"/>
    <w:rsid w:val="00970A10"/>
    <w:rsid w:val="00970CB5"/>
    <w:rsid w:val="00970EC6"/>
    <w:rsid w:val="00971C79"/>
    <w:rsid w:val="00971F27"/>
    <w:rsid w:val="00972A01"/>
    <w:rsid w:val="00972D27"/>
    <w:rsid w:val="00973605"/>
    <w:rsid w:val="00973DE1"/>
    <w:rsid w:val="00973ED8"/>
    <w:rsid w:val="00974B8A"/>
    <w:rsid w:val="00975015"/>
    <w:rsid w:val="00975599"/>
    <w:rsid w:val="009756BA"/>
    <w:rsid w:val="0097590A"/>
    <w:rsid w:val="009759BE"/>
    <w:rsid w:val="00976160"/>
    <w:rsid w:val="00976437"/>
    <w:rsid w:val="0097799B"/>
    <w:rsid w:val="009802E3"/>
    <w:rsid w:val="009803D8"/>
    <w:rsid w:val="00980569"/>
    <w:rsid w:val="009807F1"/>
    <w:rsid w:val="00980B89"/>
    <w:rsid w:val="00980BE5"/>
    <w:rsid w:val="00980F0B"/>
    <w:rsid w:val="00981E54"/>
    <w:rsid w:val="00982067"/>
    <w:rsid w:val="009821E9"/>
    <w:rsid w:val="00982EAE"/>
    <w:rsid w:val="00983167"/>
    <w:rsid w:val="00983222"/>
    <w:rsid w:val="0098444C"/>
    <w:rsid w:val="00984BF6"/>
    <w:rsid w:val="00985713"/>
    <w:rsid w:val="009859F4"/>
    <w:rsid w:val="0098648F"/>
    <w:rsid w:val="00987BDA"/>
    <w:rsid w:val="00987E3F"/>
    <w:rsid w:val="009904D1"/>
    <w:rsid w:val="00991561"/>
    <w:rsid w:val="0099198D"/>
    <w:rsid w:val="00991CFE"/>
    <w:rsid w:val="00992C5B"/>
    <w:rsid w:val="00992D8B"/>
    <w:rsid w:val="00992F8F"/>
    <w:rsid w:val="009931FC"/>
    <w:rsid w:val="00993265"/>
    <w:rsid w:val="0099373A"/>
    <w:rsid w:val="00993FFD"/>
    <w:rsid w:val="009943F3"/>
    <w:rsid w:val="00994BB8"/>
    <w:rsid w:val="00995177"/>
    <w:rsid w:val="00995404"/>
    <w:rsid w:val="0099557B"/>
    <w:rsid w:val="0099683C"/>
    <w:rsid w:val="00996F16"/>
    <w:rsid w:val="009979BB"/>
    <w:rsid w:val="00997D4D"/>
    <w:rsid w:val="009A00D8"/>
    <w:rsid w:val="009A0500"/>
    <w:rsid w:val="009A07B8"/>
    <w:rsid w:val="009A0B8D"/>
    <w:rsid w:val="009A1351"/>
    <w:rsid w:val="009A1725"/>
    <w:rsid w:val="009A189C"/>
    <w:rsid w:val="009A1A88"/>
    <w:rsid w:val="009A1E8B"/>
    <w:rsid w:val="009A1EA2"/>
    <w:rsid w:val="009A213E"/>
    <w:rsid w:val="009A458F"/>
    <w:rsid w:val="009A4B18"/>
    <w:rsid w:val="009A4F26"/>
    <w:rsid w:val="009A5427"/>
    <w:rsid w:val="009A58C1"/>
    <w:rsid w:val="009A596D"/>
    <w:rsid w:val="009A5B11"/>
    <w:rsid w:val="009A5B90"/>
    <w:rsid w:val="009A61D1"/>
    <w:rsid w:val="009A65A6"/>
    <w:rsid w:val="009A6A1D"/>
    <w:rsid w:val="009A6BE7"/>
    <w:rsid w:val="009A7555"/>
    <w:rsid w:val="009B0582"/>
    <w:rsid w:val="009B0592"/>
    <w:rsid w:val="009B0AC2"/>
    <w:rsid w:val="009B0B52"/>
    <w:rsid w:val="009B1AC6"/>
    <w:rsid w:val="009B1DB1"/>
    <w:rsid w:val="009B1F98"/>
    <w:rsid w:val="009B26D5"/>
    <w:rsid w:val="009B3123"/>
    <w:rsid w:val="009B3311"/>
    <w:rsid w:val="009B340A"/>
    <w:rsid w:val="009B3737"/>
    <w:rsid w:val="009B419F"/>
    <w:rsid w:val="009B4A26"/>
    <w:rsid w:val="009B5358"/>
    <w:rsid w:val="009B578D"/>
    <w:rsid w:val="009B585F"/>
    <w:rsid w:val="009B69E9"/>
    <w:rsid w:val="009B6B15"/>
    <w:rsid w:val="009B7029"/>
    <w:rsid w:val="009B746A"/>
    <w:rsid w:val="009B76E7"/>
    <w:rsid w:val="009B7B72"/>
    <w:rsid w:val="009B7E57"/>
    <w:rsid w:val="009B7FEB"/>
    <w:rsid w:val="009C02DD"/>
    <w:rsid w:val="009C0463"/>
    <w:rsid w:val="009C0E5B"/>
    <w:rsid w:val="009C144C"/>
    <w:rsid w:val="009C15F7"/>
    <w:rsid w:val="009C2256"/>
    <w:rsid w:val="009C2B40"/>
    <w:rsid w:val="009C2E6E"/>
    <w:rsid w:val="009C2F42"/>
    <w:rsid w:val="009C2F93"/>
    <w:rsid w:val="009C3D47"/>
    <w:rsid w:val="009C42E9"/>
    <w:rsid w:val="009C478E"/>
    <w:rsid w:val="009C4801"/>
    <w:rsid w:val="009C4CB2"/>
    <w:rsid w:val="009C4DF1"/>
    <w:rsid w:val="009C4F45"/>
    <w:rsid w:val="009C4FC4"/>
    <w:rsid w:val="009C5157"/>
    <w:rsid w:val="009C571E"/>
    <w:rsid w:val="009C58F2"/>
    <w:rsid w:val="009C5CAA"/>
    <w:rsid w:val="009C63FF"/>
    <w:rsid w:val="009C6939"/>
    <w:rsid w:val="009C7285"/>
    <w:rsid w:val="009C7657"/>
    <w:rsid w:val="009C76C1"/>
    <w:rsid w:val="009D002E"/>
    <w:rsid w:val="009D0831"/>
    <w:rsid w:val="009D0F7C"/>
    <w:rsid w:val="009D25A2"/>
    <w:rsid w:val="009D2840"/>
    <w:rsid w:val="009D2AEF"/>
    <w:rsid w:val="009D2C92"/>
    <w:rsid w:val="009D2D99"/>
    <w:rsid w:val="009D38F1"/>
    <w:rsid w:val="009D3C75"/>
    <w:rsid w:val="009D4279"/>
    <w:rsid w:val="009D44D4"/>
    <w:rsid w:val="009D4DC9"/>
    <w:rsid w:val="009D519E"/>
    <w:rsid w:val="009D53B7"/>
    <w:rsid w:val="009D55BC"/>
    <w:rsid w:val="009D5D23"/>
    <w:rsid w:val="009D5DA6"/>
    <w:rsid w:val="009D6442"/>
    <w:rsid w:val="009D67FE"/>
    <w:rsid w:val="009D7E66"/>
    <w:rsid w:val="009E116A"/>
    <w:rsid w:val="009E1539"/>
    <w:rsid w:val="009E1A47"/>
    <w:rsid w:val="009E1D36"/>
    <w:rsid w:val="009E1D65"/>
    <w:rsid w:val="009E29BE"/>
    <w:rsid w:val="009E2C9A"/>
    <w:rsid w:val="009E4FFC"/>
    <w:rsid w:val="009E5431"/>
    <w:rsid w:val="009E6347"/>
    <w:rsid w:val="009E636B"/>
    <w:rsid w:val="009E6BC2"/>
    <w:rsid w:val="009E71CB"/>
    <w:rsid w:val="009E7429"/>
    <w:rsid w:val="009E7576"/>
    <w:rsid w:val="009E76EB"/>
    <w:rsid w:val="009E78C9"/>
    <w:rsid w:val="009F1112"/>
    <w:rsid w:val="009F124A"/>
    <w:rsid w:val="009F1AE0"/>
    <w:rsid w:val="009F2C6F"/>
    <w:rsid w:val="009F3675"/>
    <w:rsid w:val="009F367E"/>
    <w:rsid w:val="009F3B22"/>
    <w:rsid w:val="009F44C1"/>
    <w:rsid w:val="009F5329"/>
    <w:rsid w:val="009F5411"/>
    <w:rsid w:val="009F5CED"/>
    <w:rsid w:val="009F5EB6"/>
    <w:rsid w:val="009F6260"/>
    <w:rsid w:val="009F6332"/>
    <w:rsid w:val="009F64FB"/>
    <w:rsid w:val="009F71E2"/>
    <w:rsid w:val="009F7282"/>
    <w:rsid w:val="009F7944"/>
    <w:rsid w:val="009F7C9A"/>
    <w:rsid w:val="00A000FF"/>
    <w:rsid w:val="00A008B3"/>
    <w:rsid w:val="00A00FD2"/>
    <w:rsid w:val="00A014DC"/>
    <w:rsid w:val="00A02159"/>
    <w:rsid w:val="00A027FF"/>
    <w:rsid w:val="00A030F5"/>
    <w:rsid w:val="00A03901"/>
    <w:rsid w:val="00A04727"/>
    <w:rsid w:val="00A04C26"/>
    <w:rsid w:val="00A05282"/>
    <w:rsid w:val="00A053CB"/>
    <w:rsid w:val="00A059C3"/>
    <w:rsid w:val="00A0653F"/>
    <w:rsid w:val="00A06D03"/>
    <w:rsid w:val="00A06DDA"/>
    <w:rsid w:val="00A07158"/>
    <w:rsid w:val="00A0739F"/>
    <w:rsid w:val="00A07AB0"/>
    <w:rsid w:val="00A10515"/>
    <w:rsid w:val="00A10CE8"/>
    <w:rsid w:val="00A11403"/>
    <w:rsid w:val="00A11782"/>
    <w:rsid w:val="00A12020"/>
    <w:rsid w:val="00A1220F"/>
    <w:rsid w:val="00A1256B"/>
    <w:rsid w:val="00A12D5C"/>
    <w:rsid w:val="00A13AC1"/>
    <w:rsid w:val="00A14443"/>
    <w:rsid w:val="00A144BA"/>
    <w:rsid w:val="00A148DA"/>
    <w:rsid w:val="00A14A9D"/>
    <w:rsid w:val="00A1590C"/>
    <w:rsid w:val="00A15D39"/>
    <w:rsid w:val="00A1752C"/>
    <w:rsid w:val="00A1780A"/>
    <w:rsid w:val="00A17A5C"/>
    <w:rsid w:val="00A17B7B"/>
    <w:rsid w:val="00A17D84"/>
    <w:rsid w:val="00A212AE"/>
    <w:rsid w:val="00A226EA"/>
    <w:rsid w:val="00A22B3B"/>
    <w:rsid w:val="00A23AB2"/>
    <w:rsid w:val="00A23B87"/>
    <w:rsid w:val="00A24396"/>
    <w:rsid w:val="00A247C4"/>
    <w:rsid w:val="00A24D2C"/>
    <w:rsid w:val="00A24DE9"/>
    <w:rsid w:val="00A2514E"/>
    <w:rsid w:val="00A2591C"/>
    <w:rsid w:val="00A26363"/>
    <w:rsid w:val="00A268C9"/>
    <w:rsid w:val="00A276FE"/>
    <w:rsid w:val="00A27960"/>
    <w:rsid w:val="00A30015"/>
    <w:rsid w:val="00A306E5"/>
    <w:rsid w:val="00A30DD5"/>
    <w:rsid w:val="00A31A30"/>
    <w:rsid w:val="00A31BA2"/>
    <w:rsid w:val="00A329A0"/>
    <w:rsid w:val="00A339C5"/>
    <w:rsid w:val="00A34CB5"/>
    <w:rsid w:val="00A3573A"/>
    <w:rsid w:val="00A3582F"/>
    <w:rsid w:val="00A35BD7"/>
    <w:rsid w:val="00A35C03"/>
    <w:rsid w:val="00A37113"/>
    <w:rsid w:val="00A372A3"/>
    <w:rsid w:val="00A37468"/>
    <w:rsid w:val="00A41410"/>
    <w:rsid w:val="00A418C3"/>
    <w:rsid w:val="00A42351"/>
    <w:rsid w:val="00A4237C"/>
    <w:rsid w:val="00A42ADF"/>
    <w:rsid w:val="00A42E2C"/>
    <w:rsid w:val="00A43918"/>
    <w:rsid w:val="00A43C8C"/>
    <w:rsid w:val="00A43FF2"/>
    <w:rsid w:val="00A44237"/>
    <w:rsid w:val="00A447E9"/>
    <w:rsid w:val="00A4499C"/>
    <w:rsid w:val="00A45483"/>
    <w:rsid w:val="00A45752"/>
    <w:rsid w:val="00A46300"/>
    <w:rsid w:val="00A463FC"/>
    <w:rsid w:val="00A46DD9"/>
    <w:rsid w:val="00A47886"/>
    <w:rsid w:val="00A47BA0"/>
    <w:rsid w:val="00A501B9"/>
    <w:rsid w:val="00A50B23"/>
    <w:rsid w:val="00A50BE1"/>
    <w:rsid w:val="00A51534"/>
    <w:rsid w:val="00A518D7"/>
    <w:rsid w:val="00A51A43"/>
    <w:rsid w:val="00A52378"/>
    <w:rsid w:val="00A52824"/>
    <w:rsid w:val="00A530D7"/>
    <w:rsid w:val="00A54D02"/>
    <w:rsid w:val="00A55016"/>
    <w:rsid w:val="00A55394"/>
    <w:rsid w:val="00A566FA"/>
    <w:rsid w:val="00A57585"/>
    <w:rsid w:val="00A57933"/>
    <w:rsid w:val="00A6000C"/>
    <w:rsid w:val="00A603B9"/>
    <w:rsid w:val="00A6050E"/>
    <w:rsid w:val="00A60CE3"/>
    <w:rsid w:val="00A6138F"/>
    <w:rsid w:val="00A61401"/>
    <w:rsid w:val="00A61CAA"/>
    <w:rsid w:val="00A61F22"/>
    <w:rsid w:val="00A62698"/>
    <w:rsid w:val="00A62A35"/>
    <w:rsid w:val="00A636FC"/>
    <w:rsid w:val="00A63FA3"/>
    <w:rsid w:val="00A65296"/>
    <w:rsid w:val="00A65397"/>
    <w:rsid w:val="00A653B2"/>
    <w:rsid w:val="00A654DD"/>
    <w:rsid w:val="00A65B2E"/>
    <w:rsid w:val="00A6618D"/>
    <w:rsid w:val="00A669B1"/>
    <w:rsid w:val="00A66ED2"/>
    <w:rsid w:val="00A67041"/>
    <w:rsid w:val="00A71464"/>
    <w:rsid w:val="00A71A52"/>
    <w:rsid w:val="00A71F79"/>
    <w:rsid w:val="00A72716"/>
    <w:rsid w:val="00A72ACF"/>
    <w:rsid w:val="00A73F2E"/>
    <w:rsid w:val="00A74976"/>
    <w:rsid w:val="00A74E39"/>
    <w:rsid w:val="00A74E5C"/>
    <w:rsid w:val="00A74EF6"/>
    <w:rsid w:val="00A761B8"/>
    <w:rsid w:val="00A76CA2"/>
    <w:rsid w:val="00A77AC1"/>
    <w:rsid w:val="00A81505"/>
    <w:rsid w:val="00A8197F"/>
    <w:rsid w:val="00A81B20"/>
    <w:rsid w:val="00A82177"/>
    <w:rsid w:val="00A82394"/>
    <w:rsid w:val="00A82771"/>
    <w:rsid w:val="00A82A6B"/>
    <w:rsid w:val="00A82CA5"/>
    <w:rsid w:val="00A82FB3"/>
    <w:rsid w:val="00A83970"/>
    <w:rsid w:val="00A84100"/>
    <w:rsid w:val="00A84865"/>
    <w:rsid w:val="00A84B6B"/>
    <w:rsid w:val="00A84BAA"/>
    <w:rsid w:val="00A84D94"/>
    <w:rsid w:val="00A85759"/>
    <w:rsid w:val="00A867A2"/>
    <w:rsid w:val="00A86BF3"/>
    <w:rsid w:val="00A87D4A"/>
    <w:rsid w:val="00A90025"/>
    <w:rsid w:val="00A904B2"/>
    <w:rsid w:val="00A917F3"/>
    <w:rsid w:val="00A92459"/>
    <w:rsid w:val="00A92676"/>
    <w:rsid w:val="00A926DA"/>
    <w:rsid w:val="00A93045"/>
    <w:rsid w:val="00A93075"/>
    <w:rsid w:val="00A93807"/>
    <w:rsid w:val="00A93CEC"/>
    <w:rsid w:val="00A9435A"/>
    <w:rsid w:val="00A945FC"/>
    <w:rsid w:val="00A947A6"/>
    <w:rsid w:val="00A94EB3"/>
    <w:rsid w:val="00A952BF"/>
    <w:rsid w:val="00A954BF"/>
    <w:rsid w:val="00A9584C"/>
    <w:rsid w:val="00A95C96"/>
    <w:rsid w:val="00A9651E"/>
    <w:rsid w:val="00A96F92"/>
    <w:rsid w:val="00A97238"/>
    <w:rsid w:val="00A97512"/>
    <w:rsid w:val="00AA0B84"/>
    <w:rsid w:val="00AA0D6F"/>
    <w:rsid w:val="00AA0F79"/>
    <w:rsid w:val="00AA1297"/>
    <w:rsid w:val="00AA160B"/>
    <w:rsid w:val="00AA318B"/>
    <w:rsid w:val="00AA3AE6"/>
    <w:rsid w:val="00AA40FD"/>
    <w:rsid w:val="00AA42B0"/>
    <w:rsid w:val="00AA462A"/>
    <w:rsid w:val="00AA4AAC"/>
    <w:rsid w:val="00AA57CB"/>
    <w:rsid w:val="00AA57FC"/>
    <w:rsid w:val="00AA5DB3"/>
    <w:rsid w:val="00AA7478"/>
    <w:rsid w:val="00AA74F0"/>
    <w:rsid w:val="00AB0D38"/>
    <w:rsid w:val="00AB1B22"/>
    <w:rsid w:val="00AB26EE"/>
    <w:rsid w:val="00AB2729"/>
    <w:rsid w:val="00AB31F4"/>
    <w:rsid w:val="00AB38D9"/>
    <w:rsid w:val="00AB39D3"/>
    <w:rsid w:val="00AB45DB"/>
    <w:rsid w:val="00AB4E7A"/>
    <w:rsid w:val="00AB5686"/>
    <w:rsid w:val="00AB5AF7"/>
    <w:rsid w:val="00AB5BC2"/>
    <w:rsid w:val="00AB5F02"/>
    <w:rsid w:val="00AB6C88"/>
    <w:rsid w:val="00AB7914"/>
    <w:rsid w:val="00AC0008"/>
    <w:rsid w:val="00AC019C"/>
    <w:rsid w:val="00AC1095"/>
    <w:rsid w:val="00AC254E"/>
    <w:rsid w:val="00AC26E8"/>
    <w:rsid w:val="00AC38DD"/>
    <w:rsid w:val="00AC45CA"/>
    <w:rsid w:val="00AC473C"/>
    <w:rsid w:val="00AC4896"/>
    <w:rsid w:val="00AC4FDB"/>
    <w:rsid w:val="00AC5086"/>
    <w:rsid w:val="00AC5CDD"/>
    <w:rsid w:val="00AC650D"/>
    <w:rsid w:val="00AC6BFD"/>
    <w:rsid w:val="00AC70ED"/>
    <w:rsid w:val="00AC7427"/>
    <w:rsid w:val="00AC7B65"/>
    <w:rsid w:val="00AD0121"/>
    <w:rsid w:val="00AD0864"/>
    <w:rsid w:val="00AD0ACD"/>
    <w:rsid w:val="00AD1033"/>
    <w:rsid w:val="00AD2181"/>
    <w:rsid w:val="00AD22A8"/>
    <w:rsid w:val="00AD277D"/>
    <w:rsid w:val="00AD2CCA"/>
    <w:rsid w:val="00AD30E2"/>
    <w:rsid w:val="00AD38BE"/>
    <w:rsid w:val="00AD3904"/>
    <w:rsid w:val="00AD5353"/>
    <w:rsid w:val="00AD53BB"/>
    <w:rsid w:val="00AD6718"/>
    <w:rsid w:val="00AD6B9A"/>
    <w:rsid w:val="00AD70E1"/>
    <w:rsid w:val="00AD7CDE"/>
    <w:rsid w:val="00AD7EC4"/>
    <w:rsid w:val="00AE06F4"/>
    <w:rsid w:val="00AE0A30"/>
    <w:rsid w:val="00AE0DA2"/>
    <w:rsid w:val="00AE10BA"/>
    <w:rsid w:val="00AE1489"/>
    <w:rsid w:val="00AE1816"/>
    <w:rsid w:val="00AE1B35"/>
    <w:rsid w:val="00AE1E16"/>
    <w:rsid w:val="00AE2494"/>
    <w:rsid w:val="00AE3316"/>
    <w:rsid w:val="00AE3406"/>
    <w:rsid w:val="00AE38BF"/>
    <w:rsid w:val="00AE3925"/>
    <w:rsid w:val="00AE3F9F"/>
    <w:rsid w:val="00AE45A9"/>
    <w:rsid w:val="00AE468D"/>
    <w:rsid w:val="00AE46E6"/>
    <w:rsid w:val="00AE6747"/>
    <w:rsid w:val="00AE6818"/>
    <w:rsid w:val="00AE73DF"/>
    <w:rsid w:val="00AF013A"/>
    <w:rsid w:val="00AF0528"/>
    <w:rsid w:val="00AF0FBD"/>
    <w:rsid w:val="00AF12F5"/>
    <w:rsid w:val="00AF2D4C"/>
    <w:rsid w:val="00AF376F"/>
    <w:rsid w:val="00AF389A"/>
    <w:rsid w:val="00AF3E6F"/>
    <w:rsid w:val="00AF4023"/>
    <w:rsid w:val="00AF427D"/>
    <w:rsid w:val="00AF4942"/>
    <w:rsid w:val="00AF4D19"/>
    <w:rsid w:val="00AF4E10"/>
    <w:rsid w:val="00AF539E"/>
    <w:rsid w:val="00AF5434"/>
    <w:rsid w:val="00AF5470"/>
    <w:rsid w:val="00AF5765"/>
    <w:rsid w:val="00AF5C6B"/>
    <w:rsid w:val="00AF633F"/>
    <w:rsid w:val="00AF6355"/>
    <w:rsid w:val="00AF78EF"/>
    <w:rsid w:val="00AF7AF3"/>
    <w:rsid w:val="00B00656"/>
    <w:rsid w:val="00B0084B"/>
    <w:rsid w:val="00B00A27"/>
    <w:rsid w:val="00B00D0D"/>
    <w:rsid w:val="00B00E21"/>
    <w:rsid w:val="00B01648"/>
    <w:rsid w:val="00B01D86"/>
    <w:rsid w:val="00B01FCA"/>
    <w:rsid w:val="00B02081"/>
    <w:rsid w:val="00B02E69"/>
    <w:rsid w:val="00B02FD1"/>
    <w:rsid w:val="00B031AE"/>
    <w:rsid w:val="00B032EB"/>
    <w:rsid w:val="00B03383"/>
    <w:rsid w:val="00B05DB2"/>
    <w:rsid w:val="00B100BB"/>
    <w:rsid w:val="00B11E33"/>
    <w:rsid w:val="00B11ECB"/>
    <w:rsid w:val="00B1224A"/>
    <w:rsid w:val="00B12496"/>
    <w:rsid w:val="00B1252A"/>
    <w:rsid w:val="00B12784"/>
    <w:rsid w:val="00B14A5E"/>
    <w:rsid w:val="00B15054"/>
    <w:rsid w:val="00B1560C"/>
    <w:rsid w:val="00B16275"/>
    <w:rsid w:val="00B1653A"/>
    <w:rsid w:val="00B16558"/>
    <w:rsid w:val="00B16589"/>
    <w:rsid w:val="00B16FFF"/>
    <w:rsid w:val="00B17901"/>
    <w:rsid w:val="00B17BDC"/>
    <w:rsid w:val="00B17DB0"/>
    <w:rsid w:val="00B20619"/>
    <w:rsid w:val="00B207B7"/>
    <w:rsid w:val="00B207E7"/>
    <w:rsid w:val="00B21E8D"/>
    <w:rsid w:val="00B22379"/>
    <w:rsid w:val="00B2359B"/>
    <w:rsid w:val="00B23853"/>
    <w:rsid w:val="00B23AA9"/>
    <w:rsid w:val="00B23EB8"/>
    <w:rsid w:val="00B24141"/>
    <w:rsid w:val="00B24439"/>
    <w:rsid w:val="00B247ED"/>
    <w:rsid w:val="00B24B15"/>
    <w:rsid w:val="00B24D38"/>
    <w:rsid w:val="00B24F23"/>
    <w:rsid w:val="00B24F71"/>
    <w:rsid w:val="00B258CE"/>
    <w:rsid w:val="00B25C3A"/>
    <w:rsid w:val="00B25FB5"/>
    <w:rsid w:val="00B265CF"/>
    <w:rsid w:val="00B2668A"/>
    <w:rsid w:val="00B26971"/>
    <w:rsid w:val="00B278C3"/>
    <w:rsid w:val="00B302FB"/>
    <w:rsid w:val="00B30401"/>
    <w:rsid w:val="00B311A9"/>
    <w:rsid w:val="00B313A6"/>
    <w:rsid w:val="00B31879"/>
    <w:rsid w:val="00B3197F"/>
    <w:rsid w:val="00B31B01"/>
    <w:rsid w:val="00B31B22"/>
    <w:rsid w:val="00B32412"/>
    <w:rsid w:val="00B3256E"/>
    <w:rsid w:val="00B325B2"/>
    <w:rsid w:val="00B3448B"/>
    <w:rsid w:val="00B35326"/>
    <w:rsid w:val="00B354B0"/>
    <w:rsid w:val="00B358D2"/>
    <w:rsid w:val="00B35AEE"/>
    <w:rsid w:val="00B35C51"/>
    <w:rsid w:val="00B35FA1"/>
    <w:rsid w:val="00B35FE4"/>
    <w:rsid w:val="00B36973"/>
    <w:rsid w:val="00B36EF2"/>
    <w:rsid w:val="00B3793B"/>
    <w:rsid w:val="00B37D12"/>
    <w:rsid w:val="00B40684"/>
    <w:rsid w:val="00B408D1"/>
    <w:rsid w:val="00B40ED8"/>
    <w:rsid w:val="00B41374"/>
    <w:rsid w:val="00B420D4"/>
    <w:rsid w:val="00B426D4"/>
    <w:rsid w:val="00B433A0"/>
    <w:rsid w:val="00B447AC"/>
    <w:rsid w:val="00B44B8D"/>
    <w:rsid w:val="00B44C1E"/>
    <w:rsid w:val="00B4506A"/>
    <w:rsid w:val="00B45634"/>
    <w:rsid w:val="00B471BC"/>
    <w:rsid w:val="00B47235"/>
    <w:rsid w:val="00B476BD"/>
    <w:rsid w:val="00B526DA"/>
    <w:rsid w:val="00B52921"/>
    <w:rsid w:val="00B52C78"/>
    <w:rsid w:val="00B534AF"/>
    <w:rsid w:val="00B53C2B"/>
    <w:rsid w:val="00B53CCC"/>
    <w:rsid w:val="00B54D55"/>
    <w:rsid w:val="00B54DAD"/>
    <w:rsid w:val="00B54EC4"/>
    <w:rsid w:val="00B554D7"/>
    <w:rsid w:val="00B55B3D"/>
    <w:rsid w:val="00B55F19"/>
    <w:rsid w:val="00B56291"/>
    <w:rsid w:val="00B563CC"/>
    <w:rsid w:val="00B56B0A"/>
    <w:rsid w:val="00B5741F"/>
    <w:rsid w:val="00B57703"/>
    <w:rsid w:val="00B57923"/>
    <w:rsid w:val="00B579D4"/>
    <w:rsid w:val="00B57C9F"/>
    <w:rsid w:val="00B60CD2"/>
    <w:rsid w:val="00B613A0"/>
    <w:rsid w:val="00B6296C"/>
    <w:rsid w:val="00B63640"/>
    <w:rsid w:val="00B63AC6"/>
    <w:rsid w:val="00B6430F"/>
    <w:rsid w:val="00B644A0"/>
    <w:rsid w:val="00B667F9"/>
    <w:rsid w:val="00B668B8"/>
    <w:rsid w:val="00B67B34"/>
    <w:rsid w:val="00B67C3E"/>
    <w:rsid w:val="00B70251"/>
    <w:rsid w:val="00B70744"/>
    <w:rsid w:val="00B7148E"/>
    <w:rsid w:val="00B7181F"/>
    <w:rsid w:val="00B732FC"/>
    <w:rsid w:val="00B73A87"/>
    <w:rsid w:val="00B7518F"/>
    <w:rsid w:val="00B753B6"/>
    <w:rsid w:val="00B75BC7"/>
    <w:rsid w:val="00B75BF6"/>
    <w:rsid w:val="00B75C30"/>
    <w:rsid w:val="00B75E81"/>
    <w:rsid w:val="00B766D6"/>
    <w:rsid w:val="00B7699E"/>
    <w:rsid w:val="00B77630"/>
    <w:rsid w:val="00B77C78"/>
    <w:rsid w:val="00B8002D"/>
    <w:rsid w:val="00B8023B"/>
    <w:rsid w:val="00B82396"/>
    <w:rsid w:val="00B8271B"/>
    <w:rsid w:val="00B82980"/>
    <w:rsid w:val="00B8546B"/>
    <w:rsid w:val="00B86AC4"/>
    <w:rsid w:val="00B86ACF"/>
    <w:rsid w:val="00B86B00"/>
    <w:rsid w:val="00B86BBF"/>
    <w:rsid w:val="00B86F97"/>
    <w:rsid w:val="00B87BCF"/>
    <w:rsid w:val="00B90810"/>
    <w:rsid w:val="00B90F2A"/>
    <w:rsid w:val="00B91194"/>
    <w:rsid w:val="00B9189E"/>
    <w:rsid w:val="00B92883"/>
    <w:rsid w:val="00B92AD2"/>
    <w:rsid w:val="00B93E46"/>
    <w:rsid w:val="00B9424F"/>
    <w:rsid w:val="00B95475"/>
    <w:rsid w:val="00B9563A"/>
    <w:rsid w:val="00B964A5"/>
    <w:rsid w:val="00B966F6"/>
    <w:rsid w:val="00B976BC"/>
    <w:rsid w:val="00B97916"/>
    <w:rsid w:val="00BA0222"/>
    <w:rsid w:val="00BA046D"/>
    <w:rsid w:val="00BA06D8"/>
    <w:rsid w:val="00BA09EA"/>
    <w:rsid w:val="00BA0F53"/>
    <w:rsid w:val="00BA1DDB"/>
    <w:rsid w:val="00BA207A"/>
    <w:rsid w:val="00BA22DD"/>
    <w:rsid w:val="00BA329D"/>
    <w:rsid w:val="00BA387E"/>
    <w:rsid w:val="00BA3B0E"/>
    <w:rsid w:val="00BA404C"/>
    <w:rsid w:val="00BA4643"/>
    <w:rsid w:val="00BA4E4B"/>
    <w:rsid w:val="00BA4E85"/>
    <w:rsid w:val="00BA5251"/>
    <w:rsid w:val="00BA52A3"/>
    <w:rsid w:val="00BA5386"/>
    <w:rsid w:val="00BA55CE"/>
    <w:rsid w:val="00BA5D21"/>
    <w:rsid w:val="00BA5EF4"/>
    <w:rsid w:val="00BA63D1"/>
    <w:rsid w:val="00BA6634"/>
    <w:rsid w:val="00BA66F5"/>
    <w:rsid w:val="00BA673D"/>
    <w:rsid w:val="00BA6B3F"/>
    <w:rsid w:val="00BA6C47"/>
    <w:rsid w:val="00BB0153"/>
    <w:rsid w:val="00BB075B"/>
    <w:rsid w:val="00BB0825"/>
    <w:rsid w:val="00BB0BCC"/>
    <w:rsid w:val="00BB168E"/>
    <w:rsid w:val="00BB234E"/>
    <w:rsid w:val="00BB245B"/>
    <w:rsid w:val="00BB258B"/>
    <w:rsid w:val="00BB2B1A"/>
    <w:rsid w:val="00BB2C6D"/>
    <w:rsid w:val="00BB2DC2"/>
    <w:rsid w:val="00BB3749"/>
    <w:rsid w:val="00BB3D68"/>
    <w:rsid w:val="00BB3F7F"/>
    <w:rsid w:val="00BB425C"/>
    <w:rsid w:val="00BB4D4E"/>
    <w:rsid w:val="00BB5EAD"/>
    <w:rsid w:val="00BB602B"/>
    <w:rsid w:val="00BB6548"/>
    <w:rsid w:val="00BB67A4"/>
    <w:rsid w:val="00BB7856"/>
    <w:rsid w:val="00BC03FE"/>
    <w:rsid w:val="00BC047B"/>
    <w:rsid w:val="00BC04D2"/>
    <w:rsid w:val="00BC08D4"/>
    <w:rsid w:val="00BC09A9"/>
    <w:rsid w:val="00BC2464"/>
    <w:rsid w:val="00BC29F5"/>
    <w:rsid w:val="00BC3684"/>
    <w:rsid w:val="00BC4DBF"/>
    <w:rsid w:val="00BC4E93"/>
    <w:rsid w:val="00BC5915"/>
    <w:rsid w:val="00BC6053"/>
    <w:rsid w:val="00BC621E"/>
    <w:rsid w:val="00BC71A4"/>
    <w:rsid w:val="00BC73CA"/>
    <w:rsid w:val="00BC76E3"/>
    <w:rsid w:val="00BD00F0"/>
    <w:rsid w:val="00BD2026"/>
    <w:rsid w:val="00BD2B14"/>
    <w:rsid w:val="00BD33D1"/>
    <w:rsid w:val="00BD3692"/>
    <w:rsid w:val="00BD3A68"/>
    <w:rsid w:val="00BD3A8A"/>
    <w:rsid w:val="00BD3CA5"/>
    <w:rsid w:val="00BD46AE"/>
    <w:rsid w:val="00BD4798"/>
    <w:rsid w:val="00BD5009"/>
    <w:rsid w:val="00BD55EB"/>
    <w:rsid w:val="00BD61EA"/>
    <w:rsid w:val="00BD683D"/>
    <w:rsid w:val="00BD6994"/>
    <w:rsid w:val="00BD71A5"/>
    <w:rsid w:val="00BD73DA"/>
    <w:rsid w:val="00BE04F0"/>
    <w:rsid w:val="00BE082C"/>
    <w:rsid w:val="00BE0E17"/>
    <w:rsid w:val="00BE120B"/>
    <w:rsid w:val="00BE2526"/>
    <w:rsid w:val="00BE2BAB"/>
    <w:rsid w:val="00BE340B"/>
    <w:rsid w:val="00BE3BD1"/>
    <w:rsid w:val="00BE40EC"/>
    <w:rsid w:val="00BE4A97"/>
    <w:rsid w:val="00BE4F75"/>
    <w:rsid w:val="00BE4F95"/>
    <w:rsid w:val="00BE6615"/>
    <w:rsid w:val="00BE6C1E"/>
    <w:rsid w:val="00BE71CA"/>
    <w:rsid w:val="00BE7615"/>
    <w:rsid w:val="00BF0C46"/>
    <w:rsid w:val="00BF16D4"/>
    <w:rsid w:val="00BF18D8"/>
    <w:rsid w:val="00BF1AD9"/>
    <w:rsid w:val="00BF1ED3"/>
    <w:rsid w:val="00BF1EE9"/>
    <w:rsid w:val="00BF21D4"/>
    <w:rsid w:val="00BF2A96"/>
    <w:rsid w:val="00BF2E64"/>
    <w:rsid w:val="00BF35BE"/>
    <w:rsid w:val="00BF3701"/>
    <w:rsid w:val="00BF3F77"/>
    <w:rsid w:val="00BF461B"/>
    <w:rsid w:val="00BF4BCF"/>
    <w:rsid w:val="00BF4DA7"/>
    <w:rsid w:val="00BF4F11"/>
    <w:rsid w:val="00BF4F45"/>
    <w:rsid w:val="00BF5339"/>
    <w:rsid w:val="00BF58C7"/>
    <w:rsid w:val="00BF6285"/>
    <w:rsid w:val="00BF629B"/>
    <w:rsid w:val="00BF6575"/>
    <w:rsid w:val="00BF7DA8"/>
    <w:rsid w:val="00C01A6B"/>
    <w:rsid w:val="00C01E63"/>
    <w:rsid w:val="00C022F1"/>
    <w:rsid w:val="00C02507"/>
    <w:rsid w:val="00C02A9A"/>
    <w:rsid w:val="00C03445"/>
    <w:rsid w:val="00C04B8F"/>
    <w:rsid w:val="00C04C2A"/>
    <w:rsid w:val="00C051EE"/>
    <w:rsid w:val="00C05442"/>
    <w:rsid w:val="00C05B5C"/>
    <w:rsid w:val="00C05C98"/>
    <w:rsid w:val="00C06140"/>
    <w:rsid w:val="00C06289"/>
    <w:rsid w:val="00C06D47"/>
    <w:rsid w:val="00C07C16"/>
    <w:rsid w:val="00C10298"/>
    <w:rsid w:val="00C10C48"/>
    <w:rsid w:val="00C111DB"/>
    <w:rsid w:val="00C125B5"/>
    <w:rsid w:val="00C131D2"/>
    <w:rsid w:val="00C13248"/>
    <w:rsid w:val="00C13992"/>
    <w:rsid w:val="00C14612"/>
    <w:rsid w:val="00C14D12"/>
    <w:rsid w:val="00C14DC0"/>
    <w:rsid w:val="00C1517D"/>
    <w:rsid w:val="00C15328"/>
    <w:rsid w:val="00C15CA5"/>
    <w:rsid w:val="00C15F84"/>
    <w:rsid w:val="00C166A2"/>
    <w:rsid w:val="00C1689F"/>
    <w:rsid w:val="00C168B3"/>
    <w:rsid w:val="00C168C7"/>
    <w:rsid w:val="00C168C9"/>
    <w:rsid w:val="00C174F6"/>
    <w:rsid w:val="00C17F30"/>
    <w:rsid w:val="00C20662"/>
    <w:rsid w:val="00C20BB6"/>
    <w:rsid w:val="00C20BCF"/>
    <w:rsid w:val="00C211D6"/>
    <w:rsid w:val="00C21C49"/>
    <w:rsid w:val="00C21E3F"/>
    <w:rsid w:val="00C21F61"/>
    <w:rsid w:val="00C2229F"/>
    <w:rsid w:val="00C22F35"/>
    <w:rsid w:val="00C231EA"/>
    <w:rsid w:val="00C239A2"/>
    <w:rsid w:val="00C24AC7"/>
    <w:rsid w:val="00C24B22"/>
    <w:rsid w:val="00C258D9"/>
    <w:rsid w:val="00C2681C"/>
    <w:rsid w:val="00C27716"/>
    <w:rsid w:val="00C2776D"/>
    <w:rsid w:val="00C278A3"/>
    <w:rsid w:val="00C30384"/>
    <w:rsid w:val="00C307CC"/>
    <w:rsid w:val="00C30EBE"/>
    <w:rsid w:val="00C31253"/>
    <w:rsid w:val="00C3142D"/>
    <w:rsid w:val="00C31469"/>
    <w:rsid w:val="00C31489"/>
    <w:rsid w:val="00C31829"/>
    <w:rsid w:val="00C31DA0"/>
    <w:rsid w:val="00C31F49"/>
    <w:rsid w:val="00C31FCF"/>
    <w:rsid w:val="00C32813"/>
    <w:rsid w:val="00C32860"/>
    <w:rsid w:val="00C32A07"/>
    <w:rsid w:val="00C330AC"/>
    <w:rsid w:val="00C33A62"/>
    <w:rsid w:val="00C344FF"/>
    <w:rsid w:val="00C34503"/>
    <w:rsid w:val="00C348A8"/>
    <w:rsid w:val="00C34AB6"/>
    <w:rsid w:val="00C351D9"/>
    <w:rsid w:val="00C363ED"/>
    <w:rsid w:val="00C374EE"/>
    <w:rsid w:val="00C37999"/>
    <w:rsid w:val="00C37A27"/>
    <w:rsid w:val="00C40424"/>
    <w:rsid w:val="00C40557"/>
    <w:rsid w:val="00C40B92"/>
    <w:rsid w:val="00C4116C"/>
    <w:rsid w:val="00C42736"/>
    <w:rsid w:val="00C42C1A"/>
    <w:rsid w:val="00C42E38"/>
    <w:rsid w:val="00C43635"/>
    <w:rsid w:val="00C43856"/>
    <w:rsid w:val="00C43CE8"/>
    <w:rsid w:val="00C44277"/>
    <w:rsid w:val="00C44898"/>
    <w:rsid w:val="00C44A54"/>
    <w:rsid w:val="00C44BEF"/>
    <w:rsid w:val="00C46AA2"/>
    <w:rsid w:val="00C46C77"/>
    <w:rsid w:val="00C4772C"/>
    <w:rsid w:val="00C47ADB"/>
    <w:rsid w:val="00C50AE0"/>
    <w:rsid w:val="00C50D52"/>
    <w:rsid w:val="00C50EAE"/>
    <w:rsid w:val="00C51002"/>
    <w:rsid w:val="00C51DD6"/>
    <w:rsid w:val="00C51DFD"/>
    <w:rsid w:val="00C51E76"/>
    <w:rsid w:val="00C52E97"/>
    <w:rsid w:val="00C53089"/>
    <w:rsid w:val="00C5368D"/>
    <w:rsid w:val="00C539F0"/>
    <w:rsid w:val="00C54AEA"/>
    <w:rsid w:val="00C54AF2"/>
    <w:rsid w:val="00C54F22"/>
    <w:rsid w:val="00C55ADB"/>
    <w:rsid w:val="00C5696E"/>
    <w:rsid w:val="00C57357"/>
    <w:rsid w:val="00C5780C"/>
    <w:rsid w:val="00C57F11"/>
    <w:rsid w:val="00C60CEF"/>
    <w:rsid w:val="00C61211"/>
    <w:rsid w:val="00C61E8C"/>
    <w:rsid w:val="00C62186"/>
    <w:rsid w:val="00C62403"/>
    <w:rsid w:val="00C62730"/>
    <w:rsid w:val="00C632DA"/>
    <w:rsid w:val="00C6385D"/>
    <w:rsid w:val="00C63A83"/>
    <w:rsid w:val="00C63E1E"/>
    <w:rsid w:val="00C6440E"/>
    <w:rsid w:val="00C650DD"/>
    <w:rsid w:val="00C659D4"/>
    <w:rsid w:val="00C65C93"/>
    <w:rsid w:val="00C67F0B"/>
    <w:rsid w:val="00C7030D"/>
    <w:rsid w:val="00C711AE"/>
    <w:rsid w:val="00C713AE"/>
    <w:rsid w:val="00C717E8"/>
    <w:rsid w:val="00C719DF"/>
    <w:rsid w:val="00C71A1F"/>
    <w:rsid w:val="00C72231"/>
    <w:rsid w:val="00C72327"/>
    <w:rsid w:val="00C7277E"/>
    <w:rsid w:val="00C72DF4"/>
    <w:rsid w:val="00C733B1"/>
    <w:rsid w:val="00C73623"/>
    <w:rsid w:val="00C7402B"/>
    <w:rsid w:val="00C7405C"/>
    <w:rsid w:val="00C74EC7"/>
    <w:rsid w:val="00C74F8D"/>
    <w:rsid w:val="00C7590F"/>
    <w:rsid w:val="00C75BA0"/>
    <w:rsid w:val="00C764DC"/>
    <w:rsid w:val="00C76D02"/>
    <w:rsid w:val="00C76F55"/>
    <w:rsid w:val="00C80778"/>
    <w:rsid w:val="00C807BD"/>
    <w:rsid w:val="00C80804"/>
    <w:rsid w:val="00C8094B"/>
    <w:rsid w:val="00C8116B"/>
    <w:rsid w:val="00C813C9"/>
    <w:rsid w:val="00C815E5"/>
    <w:rsid w:val="00C81AE9"/>
    <w:rsid w:val="00C822BA"/>
    <w:rsid w:val="00C830DA"/>
    <w:rsid w:val="00C84251"/>
    <w:rsid w:val="00C84256"/>
    <w:rsid w:val="00C842BE"/>
    <w:rsid w:val="00C85277"/>
    <w:rsid w:val="00C8540D"/>
    <w:rsid w:val="00C854A5"/>
    <w:rsid w:val="00C85968"/>
    <w:rsid w:val="00C87729"/>
    <w:rsid w:val="00C87A47"/>
    <w:rsid w:val="00C87D77"/>
    <w:rsid w:val="00C87F23"/>
    <w:rsid w:val="00C902EE"/>
    <w:rsid w:val="00C9030D"/>
    <w:rsid w:val="00C9038F"/>
    <w:rsid w:val="00C90453"/>
    <w:rsid w:val="00C908A9"/>
    <w:rsid w:val="00C90DFB"/>
    <w:rsid w:val="00C90FD0"/>
    <w:rsid w:val="00C90FED"/>
    <w:rsid w:val="00C91C63"/>
    <w:rsid w:val="00C9254F"/>
    <w:rsid w:val="00C92F3E"/>
    <w:rsid w:val="00C9394B"/>
    <w:rsid w:val="00C93A59"/>
    <w:rsid w:val="00C944A6"/>
    <w:rsid w:val="00C94540"/>
    <w:rsid w:val="00C94F72"/>
    <w:rsid w:val="00C95E41"/>
    <w:rsid w:val="00C96EE2"/>
    <w:rsid w:val="00C97886"/>
    <w:rsid w:val="00C9792A"/>
    <w:rsid w:val="00CA05A8"/>
    <w:rsid w:val="00CA0C2C"/>
    <w:rsid w:val="00CA138E"/>
    <w:rsid w:val="00CA1E1E"/>
    <w:rsid w:val="00CA1FC0"/>
    <w:rsid w:val="00CA2D3C"/>
    <w:rsid w:val="00CA307D"/>
    <w:rsid w:val="00CA3B5F"/>
    <w:rsid w:val="00CA3FE8"/>
    <w:rsid w:val="00CA4285"/>
    <w:rsid w:val="00CA432F"/>
    <w:rsid w:val="00CA4D6C"/>
    <w:rsid w:val="00CA5B5D"/>
    <w:rsid w:val="00CA601C"/>
    <w:rsid w:val="00CA61A6"/>
    <w:rsid w:val="00CA61B9"/>
    <w:rsid w:val="00CA6961"/>
    <w:rsid w:val="00CA7063"/>
    <w:rsid w:val="00CA7763"/>
    <w:rsid w:val="00CA7C71"/>
    <w:rsid w:val="00CB0325"/>
    <w:rsid w:val="00CB0403"/>
    <w:rsid w:val="00CB1084"/>
    <w:rsid w:val="00CB177A"/>
    <w:rsid w:val="00CB1A65"/>
    <w:rsid w:val="00CB1B57"/>
    <w:rsid w:val="00CB1E1B"/>
    <w:rsid w:val="00CB1E8B"/>
    <w:rsid w:val="00CB1F43"/>
    <w:rsid w:val="00CB2153"/>
    <w:rsid w:val="00CB273C"/>
    <w:rsid w:val="00CB29DF"/>
    <w:rsid w:val="00CB2B29"/>
    <w:rsid w:val="00CB2EFE"/>
    <w:rsid w:val="00CB32EA"/>
    <w:rsid w:val="00CB3ABC"/>
    <w:rsid w:val="00CB3FB0"/>
    <w:rsid w:val="00CB41E2"/>
    <w:rsid w:val="00CB41E3"/>
    <w:rsid w:val="00CB493D"/>
    <w:rsid w:val="00CB5862"/>
    <w:rsid w:val="00CB5ED1"/>
    <w:rsid w:val="00CB60CE"/>
    <w:rsid w:val="00CB60F7"/>
    <w:rsid w:val="00CB68E7"/>
    <w:rsid w:val="00CB694C"/>
    <w:rsid w:val="00CB6D21"/>
    <w:rsid w:val="00CB6D74"/>
    <w:rsid w:val="00CB6FDF"/>
    <w:rsid w:val="00CB71E0"/>
    <w:rsid w:val="00CB7788"/>
    <w:rsid w:val="00CB7941"/>
    <w:rsid w:val="00CB7C3E"/>
    <w:rsid w:val="00CB7EA9"/>
    <w:rsid w:val="00CC0CA1"/>
    <w:rsid w:val="00CC0FC8"/>
    <w:rsid w:val="00CC22F1"/>
    <w:rsid w:val="00CC2807"/>
    <w:rsid w:val="00CC3B6A"/>
    <w:rsid w:val="00CC3B8B"/>
    <w:rsid w:val="00CC3DFB"/>
    <w:rsid w:val="00CC4D77"/>
    <w:rsid w:val="00CC5B54"/>
    <w:rsid w:val="00CC6692"/>
    <w:rsid w:val="00CC6838"/>
    <w:rsid w:val="00CC73BA"/>
    <w:rsid w:val="00CC7B03"/>
    <w:rsid w:val="00CC7BA0"/>
    <w:rsid w:val="00CC7D2E"/>
    <w:rsid w:val="00CD0014"/>
    <w:rsid w:val="00CD0049"/>
    <w:rsid w:val="00CD0C34"/>
    <w:rsid w:val="00CD0F86"/>
    <w:rsid w:val="00CD110D"/>
    <w:rsid w:val="00CD135E"/>
    <w:rsid w:val="00CD1DD0"/>
    <w:rsid w:val="00CD20C8"/>
    <w:rsid w:val="00CD23F5"/>
    <w:rsid w:val="00CD2503"/>
    <w:rsid w:val="00CD2701"/>
    <w:rsid w:val="00CD28EF"/>
    <w:rsid w:val="00CD37AE"/>
    <w:rsid w:val="00CD392A"/>
    <w:rsid w:val="00CD4004"/>
    <w:rsid w:val="00CD4EDA"/>
    <w:rsid w:val="00CD56AE"/>
    <w:rsid w:val="00CD5702"/>
    <w:rsid w:val="00CD5EBC"/>
    <w:rsid w:val="00CD5F05"/>
    <w:rsid w:val="00CD651C"/>
    <w:rsid w:val="00CD69B3"/>
    <w:rsid w:val="00CD6CE7"/>
    <w:rsid w:val="00CD7FD3"/>
    <w:rsid w:val="00CE0260"/>
    <w:rsid w:val="00CE125A"/>
    <w:rsid w:val="00CE12D1"/>
    <w:rsid w:val="00CE1BF2"/>
    <w:rsid w:val="00CE25A3"/>
    <w:rsid w:val="00CE265C"/>
    <w:rsid w:val="00CE2C39"/>
    <w:rsid w:val="00CE33CA"/>
    <w:rsid w:val="00CE35ED"/>
    <w:rsid w:val="00CE3D1F"/>
    <w:rsid w:val="00CE5351"/>
    <w:rsid w:val="00CE69D9"/>
    <w:rsid w:val="00CE7605"/>
    <w:rsid w:val="00CE79DB"/>
    <w:rsid w:val="00CE7A22"/>
    <w:rsid w:val="00CE7A2D"/>
    <w:rsid w:val="00CF04C2"/>
    <w:rsid w:val="00CF10E1"/>
    <w:rsid w:val="00CF118F"/>
    <w:rsid w:val="00CF15BA"/>
    <w:rsid w:val="00CF1614"/>
    <w:rsid w:val="00CF1668"/>
    <w:rsid w:val="00CF1E13"/>
    <w:rsid w:val="00CF248A"/>
    <w:rsid w:val="00CF31D2"/>
    <w:rsid w:val="00CF3639"/>
    <w:rsid w:val="00CF3670"/>
    <w:rsid w:val="00CF473B"/>
    <w:rsid w:val="00CF707C"/>
    <w:rsid w:val="00CF745D"/>
    <w:rsid w:val="00D00043"/>
    <w:rsid w:val="00D005E4"/>
    <w:rsid w:val="00D00A67"/>
    <w:rsid w:val="00D00BD3"/>
    <w:rsid w:val="00D00DA2"/>
    <w:rsid w:val="00D010FE"/>
    <w:rsid w:val="00D0116D"/>
    <w:rsid w:val="00D01704"/>
    <w:rsid w:val="00D01833"/>
    <w:rsid w:val="00D01EB9"/>
    <w:rsid w:val="00D0206C"/>
    <w:rsid w:val="00D02F3D"/>
    <w:rsid w:val="00D0318A"/>
    <w:rsid w:val="00D034EF"/>
    <w:rsid w:val="00D03956"/>
    <w:rsid w:val="00D03DAF"/>
    <w:rsid w:val="00D04380"/>
    <w:rsid w:val="00D048C6"/>
    <w:rsid w:val="00D05082"/>
    <w:rsid w:val="00D054AC"/>
    <w:rsid w:val="00D05580"/>
    <w:rsid w:val="00D0568C"/>
    <w:rsid w:val="00D074A0"/>
    <w:rsid w:val="00D076FD"/>
    <w:rsid w:val="00D07D85"/>
    <w:rsid w:val="00D10825"/>
    <w:rsid w:val="00D11044"/>
    <w:rsid w:val="00D129CA"/>
    <w:rsid w:val="00D12A21"/>
    <w:rsid w:val="00D12B3E"/>
    <w:rsid w:val="00D12CD1"/>
    <w:rsid w:val="00D12E2C"/>
    <w:rsid w:val="00D134DC"/>
    <w:rsid w:val="00D13A52"/>
    <w:rsid w:val="00D14880"/>
    <w:rsid w:val="00D14A19"/>
    <w:rsid w:val="00D16689"/>
    <w:rsid w:val="00D16CE0"/>
    <w:rsid w:val="00D174B8"/>
    <w:rsid w:val="00D1752F"/>
    <w:rsid w:val="00D17A58"/>
    <w:rsid w:val="00D17E16"/>
    <w:rsid w:val="00D20024"/>
    <w:rsid w:val="00D210C8"/>
    <w:rsid w:val="00D21A41"/>
    <w:rsid w:val="00D21B67"/>
    <w:rsid w:val="00D21F0C"/>
    <w:rsid w:val="00D2215C"/>
    <w:rsid w:val="00D223F6"/>
    <w:rsid w:val="00D225BF"/>
    <w:rsid w:val="00D229F0"/>
    <w:rsid w:val="00D22CFE"/>
    <w:rsid w:val="00D22F7F"/>
    <w:rsid w:val="00D2302F"/>
    <w:rsid w:val="00D23263"/>
    <w:rsid w:val="00D2359C"/>
    <w:rsid w:val="00D235E8"/>
    <w:rsid w:val="00D239E2"/>
    <w:rsid w:val="00D2442A"/>
    <w:rsid w:val="00D245F4"/>
    <w:rsid w:val="00D24616"/>
    <w:rsid w:val="00D24A84"/>
    <w:rsid w:val="00D24E83"/>
    <w:rsid w:val="00D25D65"/>
    <w:rsid w:val="00D26017"/>
    <w:rsid w:val="00D26808"/>
    <w:rsid w:val="00D26D9F"/>
    <w:rsid w:val="00D277D0"/>
    <w:rsid w:val="00D279AC"/>
    <w:rsid w:val="00D27D86"/>
    <w:rsid w:val="00D30596"/>
    <w:rsid w:val="00D30919"/>
    <w:rsid w:val="00D319F9"/>
    <w:rsid w:val="00D31DB2"/>
    <w:rsid w:val="00D324D6"/>
    <w:rsid w:val="00D32932"/>
    <w:rsid w:val="00D33FDD"/>
    <w:rsid w:val="00D3506B"/>
    <w:rsid w:val="00D36A2A"/>
    <w:rsid w:val="00D402A6"/>
    <w:rsid w:val="00D408B6"/>
    <w:rsid w:val="00D41299"/>
    <w:rsid w:val="00D41C6B"/>
    <w:rsid w:val="00D42EA4"/>
    <w:rsid w:val="00D43142"/>
    <w:rsid w:val="00D4414B"/>
    <w:rsid w:val="00D442B8"/>
    <w:rsid w:val="00D44F82"/>
    <w:rsid w:val="00D450D9"/>
    <w:rsid w:val="00D45C81"/>
    <w:rsid w:val="00D45D3D"/>
    <w:rsid w:val="00D4610A"/>
    <w:rsid w:val="00D4616A"/>
    <w:rsid w:val="00D4650C"/>
    <w:rsid w:val="00D46AD7"/>
    <w:rsid w:val="00D46E78"/>
    <w:rsid w:val="00D47F19"/>
    <w:rsid w:val="00D50359"/>
    <w:rsid w:val="00D50D70"/>
    <w:rsid w:val="00D526BE"/>
    <w:rsid w:val="00D538BC"/>
    <w:rsid w:val="00D53BE5"/>
    <w:rsid w:val="00D53E13"/>
    <w:rsid w:val="00D55214"/>
    <w:rsid w:val="00D5527A"/>
    <w:rsid w:val="00D5528F"/>
    <w:rsid w:val="00D55E8E"/>
    <w:rsid w:val="00D564F0"/>
    <w:rsid w:val="00D56A81"/>
    <w:rsid w:val="00D57F8F"/>
    <w:rsid w:val="00D57FE7"/>
    <w:rsid w:val="00D6050D"/>
    <w:rsid w:val="00D60AE9"/>
    <w:rsid w:val="00D61064"/>
    <w:rsid w:val="00D613FD"/>
    <w:rsid w:val="00D61FF8"/>
    <w:rsid w:val="00D62063"/>
    <w:rsid w:val="00D62A98"/>
    <w:rsid w:val="00D63DC8"/>
    <w:rsid w:val="00D64B48"/>
    <w:rsid w:val="00D64D12"/>
    <w:rsid w:val="00D65746"/>
    <w:rsid w:val="00D66CA2"/>
    <w:rsid w:val="00D66D76"/>
    <w:rsid w:val="00D679E8"/>
    <w:rsid w:val="00D67F30"/>
    <w:rsid w:val="00D70023"/>
    <w:rsid w:val="00D7168D"/>
    <w:rsid w:val="00D71AFF"/>
    <w:rsid w:val="00D72064"/>
    <w:rsid w:val="00D725F7"/>
    <w:rsid w:val="00D72700"/>
    <w:rsid w:val="00D7443E"/>
    <w:rsid w:val="00D74527"/>
    <w:rsid w:val="00D745D9"/>
    <w:rsid w:val="00D7536E"/>
    <w:rsid w:val="00D7576D"/>
    <w:rsid w:val="00D75817"/>
    <w:rsid w:val="00D75E31"/>
    <w:rsid w:val="00D76236"/>
    <w:rsid w:val="00D770C8"/>
    <w:rsid w:val="00D77DAC"/>
    <w:rsid w:val="00D802F7"/>
    <w:rsid w:val="00D8044C"/>
    <w:rsid w:val="00D80971"/>
    <w:rsid w:val="00D81279"/>
    <w:rsid w:val="00D81A46"/>
    <w:rsid w:val="00D82407"/>
    <w:rsid w:val="00D8296B"/>
    <w:rsid w:val="00D83048"/>
    <w:rsid w:val="00D8491F"/>
    <w:rsid w:val="00D86A58"/>
    <w:rsid w:val="00D86C20"/>
    <w:rsid w:val="00D87DBF"/>
    <w:rsid w:val="00D87F7B"/>
    <w:rsid w:val="00D900A3"/>
    <w:rsid w:val="00D90133"/>
    <w:rsid w:val="00D90184"/>
    <w:rsid w:val="00D90D30"/>
    <w:rsid w:val="00D91241"/>
    <w:rsid w:val="00D916C3"/>
    <w:rsid w:val="00D91C3E"/>
    <w:rsid w:val="00D91C86"/>
    <w:rsid w:val="00D92232"/>
    <w:rsid w:val="00D926AC"/>
    <w:rsid w:val="00D92815"/>
    <w:rsid w:val="00D92F99"/>
    <w:rsid w:val="00D934C0"/>
    <w:rsid w:val="00D937F6"/>
    <w:rsid w:val="00D939B6"/>
    <w:rsid w:val="00D948FA"/>
    <w:rsid w:val="00D94AC9"/>
    <w:rsid w:val="00D9563D"/>
    <w:rsid w:val="00D957F7"/>
    <w:rsid w:val="00D959A1"/>
    <w:rsid w:val="00D95A86"/>
    <w:rsid w:val="00D95C70"/>
    <w:rsid w:val="00D96E57"/>
    <w:rsid w:val="00D97AC0"/>
    <w:rsid w:val="00D97F4F"/>
    <w:rsid w:val="00DA011F"/>
    <w:rsid w:val="00DA027F"/>
    <w:rsid w:val="00DA0A85"/>
    <w:rsid w:val="00DA12CC"/>
    <w:rsid w:val="00DA1724"/>
    <w:rsid w:val="00DA19D6"/>
    <w:rsid w:val="00DA1D26"/>
    <w:rsid w:val="00DA1EA2"/>
    <w:rsid w:val="00DA2D8B"/>
    <w:rsid w:val="00DA300A"/>
    <w:rsid w:val="00DA3208"/>
    <w:rsid w:val="00DA3960"/>
    <w:rsid w:val="00DA404F"/>
    <w:rsid w:val="00DA4098"/>
    <w:rsid w:val="00DA429F"/>
    <w:rsid w:val="00DA44F8"/>
    <w:rsid w:val="00DA4940"/>
    <w:rsid w:val="00DA57B7"/>
    <w:rsid w:val="00DA585F"/>
    <w:rsid w:val="00DA5CA6"/>
    <w:rsid w:val="00DA5F15"/>
    <w:rsid w:val="00DA61C1"/>
    <w:rsid w:val="00DA659C"/>
    <w:rsid w:val="00DA6CC1"/>
    <w:rsid w:val="00DB0D96"/>
    <w:rsid w:val="00DB0EC7"/>
    <w:rsid w:val="00DB11BD"/>
    <w:rsid w:val="00DB22CE"/>
    <w:rsid w:val="00DB27B4"/>
    <w:rsid w:val="00DB313E"/>
    <w:rsid w:val="00DB4AF8"/>
    <w:rsid w:val="00DB5B30"/>
    <w:rsid w:val="00DB5C35"/>
    <w:rsid w:val="00DB62DD"/>
    <w:rsid w:val="00DB64B9"/>
    <w:rsid w:val="00DB658B"/>
    <w:rsid w:val="00DB69A0"/>
    <w:rsid w:val="00DB6FF3"/>
    <w:rsid w:val="00DB7937"/>
    <w:rsid w:val="00DC125E"/>
    <w:rsid w:val="00DC1405"/>
    <w:rsid w:val="00DC179A"/>
    <w:rsid w:val="00DC1EEC"/>
    <w:rsid w:val="00DC2078"/>
    <w:rsid w:val="00DC2AC7"/>
    <w:rsid w:val="00DC2B05"/>
    <w:rsid w:val="00DC2F78"/>
    <w:rsid w:val="00DC307F"/>
    <w:rsid w:val="00DC3189"/>
    <w:rsid w:val="00DC3B61"/>
    <w:rsid w:val="00DC518F"/>
    <w:rsid w:val="00DC583F"/>
    <w:rsid w:val="00DC585F"/>
    <w:rsid w:val="00DC70B8"/>
    <w:rsid w:val="00DC7CA5"/>
    <w:rsid w:val="00DC7DDC"/>
    <w:rsid w:val="00DD0212"/>
    <w:rsid w:val="00DD02EA"/>
    <w:rsid w:val="00DD124F"/>
    <w:rsid w:val="00DD1459"/>
    <w:rsid w:val="00DD20FD"/>
    <w:rsid w:val="00DD2723"/>
    <w:rsid w:val="00DD2A5F"/>
    <w:rsid w:val="00DD2C43"/>
    <w:rsid w:val="00DD31C1"/>
    <w:rsid w:val="00DD3AF6"/>
    <w:rsid w:val="00DD46E3"/>
    <w:rsid w:val="00DD4A19"/>
    <w:rsid w:val="00DD5A69"/>
    <w:rsid w:val="00DD6672"/>
    <w:rsid w:val="00DD66FD"/>
    <w:rsid w:val="00DD698D"/>
    <w:rsid w:val="00DD711D"/>
    <w:rsid w:val="00DE0660"/>
    <w:rsid w:val="00DE10E0"/>
    <w:rsid w:val="00DE1887"/>
    <w:rsid w:val="00DE18B0"/>
    <w:rsid w:val="00DE1D12"/>
    <w:rsid w:val="00DE1FC8"/>
    <w:rsid w:val="00DE20D0"/>
    <w:rsid w:val="00DE29E3"/>
    <w:rsid w:val="00DE2CB3"/>
    <w:rsid w:val="00DE2FD2"/>
    <w:rsid w:val="00DE34ED"/>
    <w:rsid w:val="00DE36EC"/>
    <w:rsid w:val="00DE3E46"/>
    <w:rsid w:val="00DE4336"/>
    <w:rsid w:val="00DE45AF"/>
    <w:rsid w:val="00DE4F03"/>
    <w:rsid w:val="00DE5040"/>
    <w:rsid w:val="00DE6758"/>
    <w:rsid w:val="00DE7564"/>
    <w:rsid w:val="00DE797B"/>
    <w:rsid w:val="00DE7BB0"/>
    <w:rsid w:val="00DF04FF"/>
    <w:rsid w:val="00DF10C9"/>
    <w:rsid w:val="00DF2AD8"/>
    <w:rsid w:val="00DF35BF"/>
    <w:rsid w:val="00DF3B32"/>
    <w:rsid w:val="00DF459D"/>
    <w:rsid w:val="00DF4843"/>
    <w:rsid w:val="00DF5568"/>
    <w:rsid w:val="00DF5CCF"/>
    <w:rsid w:val="00DF5D9C"/>
    <w:rsid w:val="00DF614E"/>
    <w:rsid w:val="00DF6448"/>
    <w:rsid w:val="00DF7601"/>
    <w:rsid w:val="00DF7876"/>
    <w:rsid w:val="00DF7D5F"/>
    <w:rsid w:val="00E00431"/>
    <w:rsid w:val="00E004AF"/>
    <w:rsid w:val="00E007DA"/>
    <w:rsid w:val="00E013DB"/>
    <w:rsid w:val="00E01CBF"/>
    <w:rsid w:val="00E02163"/>
    <w:rsid w:val="00E02EBD"/>
    <w:rsid w:val="00E04279"/>
    <w:rsid w:val="00E04611"/>
    <w:rsid w:val="00E048EC"/>
    <w:rsid w:val="00E04D6E"/>
    <w:rsid w:val="00E0538B"/>
    <w:rsid w:val="00E05903"/>
    <w:rsid w:val="00E0599B"/>
    <w:rsid w:val="00E05FED"/>
    <w:rsid w:val="00E07F92"/>
    <w:rsid w:val="00E10C52"/>
    <w:rsid w:val="00E1170A"/>
    <w:rsid w:val="00E11B90"/>
    <w:rsid w:val="00E11C8F"/>
    <w:rsid w:val="00E12095"/>
    <w:rsid w:val="00E1275D"/>
    <w:rsid w:val="00E135DA"/>
    <w:rsid w:val="00E1393C"/>
    <w:rsid w:val="00E14107"/>
    <w:rsid w:val="00E14F75"/>
    <w:rsid w:val="00E15638"/>
    <w:rsid w:val="00E158E5"/>
    <w:rsid w:val="00E15C18"/>
    <w:rsid w:val="00E15E5D"/>
    <w:rsid w:val="00E1633F"/>
    <w:rsid w:val="00E16788"/>
    <w:rsid w:val="00E169F5"/>
    <w:rsid w:val="00E17365"/>
    <w:rsid w:val="00E1765F"/>
    <w:rsid w:val="00E17D9B"/>
    <w:rsid w:val="00E203A6"/>
    <w:rsid w:val="00E2049C"/>
    <w:rsid w:val="00E21121"/>
    <w:rsid w:val="00E211C3"/>
    <w:rsid w:val="00E21AEE"/>
    <w:rsid w:val="00E23F27"/>
    <w:rsid w:val="00E242E0"/>
    <w:rsid w:val="00E2462A"/>
    <w:rsid w:val="00E24825"/>
    <w:rsid w:val="00E24AA7"/>
    <w:rsid w:val="00E24EFB"/>
    <w:rsid w:val="00E2544A"/>
    <w:rsid w:val="00E256F5"/>
    <w:rsid w:val="00E2612E"/>
    <w:rsid w:val="00E26756"/>
    <w:rsid w:val="00E27243"/>
    <w:rsid w:val="00E307DE"/>
    <w:rsid w:val="00E3083A"/>
    <w:rsid w:val="00E3109D"/>
    <w:rsid w:val="00E318B4"/>
    <w:rsid w:val="00E31936"/>
    <w:rsid w:val="00E31C74"/>
    <w:rsid w:val="00E33E3A"/>
    <w:rsid w:val="00E34543"/>
    <w:rsid w:val="00E347C3"/>
    <w:rsid w:val="00E35953"/>
    <w:rsid w:val="00E36143"/>
    <w:rsid w:val="00E36ACD"/>
    <w:rsid w:val="00E36CFB"/>
    <w:rsid w:val="00E3716E"/>
    <w:rsid w:val="00E372CA"/>
    <w:rsid w:val="00E4023C"/>
    <w:rsid w:val="00E40337"/>
    <w:rsid w:val="00E4073E"/>
    <w:rsid w:val="00E40812"/>
    <w:rsid w:val="00E40DC9"/>
    <w:rsid w:val="00E41042"/>
    <w:rsid w:val="00E415E8"/>
    <w:rsid w:val="00E416AA"/>
    <w:rsid w:val="00E4203F"/>
    <w:rsid w:val="00E422D4"/>
    <w:rsid w:val="00E4249C"/>
    <w:rsid w:val="00E42C4B"/>
    <w:rsid w:val="00E42DDB"/>
    <w:rsid w:val="00E431ED"/>
    <w:rsid w:val="00E43249"/>
    <w:rsid w:val="00E46A23"/>
    <w:rsid w:val="00E47C1C"/>
    <w:rsid w:val="00E501CE"/>
    <w:rsid w:val="00E50673"/>
    <w:rsid w:val="00E512C5"/>
    <w:rsid w:val="00E5225C"/>
    <w:rsid w:val="00E5285A"/>
    <w:rsid w:val="00E528CA"/>
    <w:rsid w:val="00E532C4"/>
    <w:rsid w:val="00E5338F"/>
    <w:rsid w:val="00E533CC"/>
    <w:rsid w:val="00E53984"/>
    <w:rsid w:val="00E54A0A"/>
    <w:rsid w:val="00E54F1C"/>
    <w:rsid w:val="00E5520A"/>
    <w:rsid w:val="00E553D6"/>
    <w:rsid w:val="00E55E19"/>
    <w:rsid w:val="00E55E43"/>
    <w:rsid w:val="00E55EE7"/>
    <w:rsid w:val="00E569A8"/>
    <w:rsid w:val="00E571C6"/>
    <w:rsid w:val="00E57FA4"/>
    <w:rsid w:val="00E603FA"/>
    <w:rsid w:val="00E608A1"/>
    <w:rsid w:val="00E6266D"/>
    <w:rsid w:val="00E6310D"/>
    <w:rsid w:val="00E63758"/>
    <w:rsid w:val="00E63867"/>
    <w:rsid w:val="00E63932"/>
    <w:rsid w:val="00E63F12"/>
    <w:rsid w:val="00E64A8A"/>
    <w:rsid w:val="00E64AE9"/>
    <w:rsid w:val="00E64C7E"/>
    <w:rsid w:val="00E64F7C"/>
    <w:rsid w:val="00E65299"/>
    <w:rsid w:val="00E655C2"/>
    <w:rsid w:val="00E66076"/>
    <w:rsid w:val="00E6613C"/>
    <w:rsid w:val="00E664A4"/>
    <w:rsid w:val="00E67AA5"/>
    <w:rsid w:val="00E67B2A"/>
    <w:rsid w:val="00E70282"/>
    <w:rsid w:val="00E725F4"/>
    <w:rsid w:val="00E72646"/>
    <w:rsid w:val="00E727A9"/>
    <w:rsid w:val="00E72BC1"/>
    <w:rsid w:val="00E73D70"/>
    <w:rsid w:val="00E740D1"/>
    <w:rsid w:val="00E74942"/>
    <w:rsid w:val="00E74D09"/>
    <w:rsid w:val="00E75BBB"/>
    <w:rsid w:val="00E76505"/>
    <w:rsid w:val="00E76563"/>
    <w:rsid w:val="00E76661"/>
    <w:rsid w:val="00E76729"/>
    <w:rsid w:val="00E769B3"/>
    <w:rsid w:val="00E76DBE"/>
    <w:rsid w:val="00E77541"/>
    <w:rsid w:val="00E77B00"/>
    <w:rsid w:val="00E800CF"/>
    <w:rsid w:val="00E8080C"/>
    <w:rsid w:val="00E80829"/>
    <w:rsid w:val="00E81CE0"/>
    <w:rsid w:val="00E8278D"/>
    <w:rsid w:val="00E82A41"/>
    <w:rsid w:val="00E82AF0"/>
    <w:rsid w:val="00E82D07"/>
    <w:rsid w:val="00E833FE"/>
    <w:rsid w:val="00E838BC"/>
    <w:rsid w:val="00E83BD0"/>
    <w:rsid w:val="00E85EE8"/>
    <w:rsid w:val="00E862F2"/>
    <w:rsid w:val="00E86414"/>
    <w:rsid w:val="00E8645B"/>
    <w:rsid w:val="00E8647A"/>
    <w:rsid w:val="00E865C7"/>
    <w:rsid w:val="00E875E5"/>
    <w:rsid w:val="00E876F8"/>
    <w:rsid w:val="00E87B50"/>
    <w:rsid w:val="00E87EAF"/>
    <w:rsid w:val="00E90AC6"/>
    <w:rsid w:val="00E90D11"/>
    <w:rsid w:val="00E9151B"/>
    <w:rsid w:val="00E91DCA"/>
    <w:rsid w:val="00E92012"/>
    <w:rsid w:val="00E92457"/>
    <w:rsid w:val="00E92AB6"/>
    <w:rsid w:val="00E93247"/>
    <w:rsid w:val="00E9392B"/>
    <w:rsid w:val="00E9406B"/>
    <w:rsid w:val="00E94CC0"/>
    <w:rsid w:val="00E95068"/>
    <w:rsid w:val="00E951BB"/>
    <w:rsid w:val="00E95516"/>
    <w:rsid w:val="00E96088"/>
    <w:rsid w:val="00E96AE0"/>
    <w:rsid w:val="00E977F1"/>
    <w:rsid w:val="00E97EAA"/>
    <w:rsid w:val="00EA06E5"/>
    <w:rsid w:val="00EA101C"/>
    <w:rsid w:val="00EA1140"/>
    <w:rsid w:val="00EA2AD4"/>
    <w:rsid w:val="00EA2BFC"/>
    <w:rsid w:val="00EA2D20"/>
    <w:rsid w:val="00EA3C42"/>
    <w:rsid w:val="00EA444C"/>
    <w:rsid w:val="00EA4482"/>
    <w:rsid w:val="00EA4CBB"/>
    <w:rsid w:val="00EA5475"/>
    <w:rsid w:val="00EA7515"/>
    <w:rsid w:val="00EA77A4"/>
    <w:rsid w:val="00EA7F8E"/>
    <w:rsid w:val="00EB0E10"/>
    <w:rsid w:val="00EB113C"/>
    <w:rsid w:val="00EB14A5"/>
    <w:rsid w:val="00EB1EEE"/>
    <w:rsid w:val="00EB22B4"/>
    <w:rsid w:val="00EB2EFD"/>
    <w:rsid w:val="00EB3404"/>
    <w:rsid w:val="00EB355C"/>
    <w:rsid w:val="00EB377A"/>
    <w:rsid w:val="00EB4A21"/>
    <w:rsid w:val="00EB50CD"/>
    <w:rsid w:val="00EB521B"/>
    <w:rsid w:val="00EB5361"/>
    <w:rsid w:val="00EB545B"/>
    <w:rsid w:val="00EB58E4"/>
    <w:rsid w:val="00EB59DB"/>
    <w:rsid w:val="00EB5CA7"/>
    <w:rsid w:val="00EB6373"/>
    <w:rsid w:val="00EB700D"/>
    <w:rsid w:val="00EB7122"/>
    <w:rsid w:val="00EB73E8"/>
    <w:rsid w:val="00EB7A88"/>
    <w:rsid w:val="00EB7BF1"/>
    <w:rsid w:val="00EB7F3F"/>
    <w:rsid w:val="00EC0FD5"/>
    <w:rsid w:val="00EC2423"/>
    <w:rsid w:val="00EC24AC"/>
    <w:rsid w:val="00EC24E9"/>
    <w:rsid w:val="00EC2510"/>
    <w:rsid w:val="00EC3011"/>
    <w:rsid w:val="00EC3400"/>
    <w:rsid w:val="00EC34D8"/>
    <w:rsid w:val="00EC543A"/>
    <w:rsid w:val="00EC7BC1"/>
    <w:rsid w:val="00EC7E7D"/>
    <w:rsid w:val="00ED0CA5"/>
    <w:rsid w:val="00ED3021"/>
    <w:rsid w:val="00ED3911"/>
    <w:rsid w:val="00ED3AD6"/>
    <w:rsid w:val="00ED3B05"/>
    <w:rsid w:val="00ED3BDD"/>
    <w:rsid w:val="00ED449F"/>
    <w:rsid w:val="00ED44EF"/>
    <w:rsid w:val="00ED4B1F"/>
    <w:rsid w:val="00ED4DD2"/>
    <w:rsid w:val="00ED4EF1"/>
    <w:rsid w:val="00ED657E"/>
    <w:rsid w:val="00ED6B5A"/>
    <w:rsid w:val="00ED6BA2"/>
    <w:rsid w:val="00ED72E7"/>
    <w:rsid w:val="00ED75C2"/>
    <w:rsid w:val="00ED7A07"/>
    <w:rsid w:val="00ED7D07"/>
    <w:rsid w:val="00EE00C4"/>
    <w:rsid w:val="00EE0A2A"/>
    <w:rsid w:val="00EE0B77"/>
    <w:rsid w:val="00EE2468"/>
    <w:rsid w:val="00EE25FC"/>
    <w:rsid w:val="00EE29F9"/>
    <w:rsid w:val="00EE3586"/>
    <w:rsid w:val="00EE3CD9"/>
    <w:rsid w:val="00EE3F12"/>
    <w:rsid w:val="00EE412F"/>
    <w:rsid w:val="00EE42DC"/>
    <w:rsid w:val="00EE46E4"/>
    <w:rsid w:val="00EE514C"/>
    <w:rsid w:val="00EE519B"/>
    <w:rsid w:val="00EE53EE"/>
    <w:rsid w:val="00EE5B18"/>
    <w:rsid w:val="00EE5F91"/>
    <w:rsid w:val="00EE61D2"/>
    <w:rsid w:val="00EE6233"/>
    <w:rsid w:val="00EE6A29"/>
    <w:rsid w:val="00EE7316"/>
    <w:rsid w:val="00EE7BCC"/>
    <w:rsid w:val="00EE7CEF"/>
    <w:rsid w:val="00EE7D16"/>
    <w:rsid w:val="00EF04D8"/>
    <w:rsid w:val="00EF0522"/>
    <w:rsid w:val="00EF0654"/>
    <w:rsid w:val="00EF114B"/>
    <w:rsid w:val="00EF1456"/>
    <w:rsid w:val="00EF2823"/>
    <w:rsid w:val="00EF2860"/>
    <w:rsid w:val="00EF361C"/>
    <w:rsid w:val="00EF3D44"/>
    <w:rsid w:val="00EF3E2C"/>
    <w:rsid w:val="00EF3E5C"/>
    <w:rsid w:val="00EF44D6"/>
    <w:rsid w:val="00EF470A"/>
    <w:rsid w:val="00EF4940"/>
    <w:rsid w:val="00EF4D08"/>
    <w:rsid w:val="00EF5257"/>
    <w:rsid w:val="00EF55E9"/>
    <w:rsid w:val="00EF601E"/>
    <w:rsid w:val="00EF607C"/>
    <w:rsid w:val="00EF68B1"/>
    <w:rsid w:val="00EF6CDA"/>
    <w:rsid w:val="00EF74D4"/>
    <w:rsid w:val="00EF7790"/>
    <w:rsid w:val="00EF7983"/>
    <w:rsid w:val="00EF7B1F"/>
    <w:rsid w:val="00EF7E9D"/>
    <w:rsid w:val="00F007CE"/>
    <w:rsid w:val="00F00971"/>
    <w:rsid w:val="00F00E31"/>
    <w:rsid w:val="00F00FBE"/>
    <w:rsid w:val="00F01753"/>
    <w:rsid w:val="00F01A39"/>
    <w:rsid w:val="00F01D8D"/>
    <w:rsid w:val="00F02C20"/>
    <w:rsid w:val="00F02DA1"/>
    <w:rsid w:val="00F02F61"/>
    <w:rsid w:val="00F03032"/>
    <w:rsid w:val="00F03186"/>
    <w:rsid w:val="00F036DD"/>
    <w:rsid w:val="00F03DA4"/>
    <w:rsid w:val="00F03FB2"/>
    <w:rsid w:val="00F041D2"/>
    <w:rsid w:val="00F04674"/>
    <w:rsid w:val="00F0482A"/>
    <w:rsid w:val="00F055F1"/>
    <w:rsid w:val="00F05680"/>
    <w:rsid w:val="00F05B2A"/>
    <w:rsid w:val="00F06159"/>
    <w:rsid w:val="00F0617A"/>
    <w:rsid w:val="00F068BD"/>
    <w:rsid w:val="00F06C3E"/>
    <w:rsid w:val="00F07025"/>
    <w:rsid w:val="00F07786"/>
    <w:rsid w:val="00F07873"/>
    <w:rsid w:val="00F10C7F"/>
    <w:rsid w:val="00F10FCE"/>
    <w:rsid w:val="00F111F8"/>
    <w:rsid w:val="00F11D5C"/>
    <w:rsid w:val="00F12498"/>
    <w:rsid w:val="00F1284B"/>
    <w:rsid w:val="00F128FD"/>
    <w:rsid w:val="00F12CFA"/>
    <w:rsid w:val="00F12EE3"/>
    <w:rsid w:val="00F13725"/>
    <w:rsid w:val="00F1409C"/>
    <w:rsid w:val="00F1598E"/>
    <w:rsid w:val="00F159E4"/>
    <w:rsid w:val="00F15DE1"/>
    <w:rsid w:val="00F16BF2"/>
    <w:rsid w:val="00F1723F"/>
    <w:rsid w:val="00F172EE"/>
    <w:rsid w:val="00F17495"/>
    <w:rsid w:val="00F175FC"/>
    <w:rsid w:val="00F209BC"/>
    <w:rsid w:val="00F20F13"/>
    <w:rsid w:val="00F21077"/>
    <w:rsid w:val="00F22245"/>
    <w:rsid w:val="00F226A5"/>
    <w:rsid w:val="00F22713"/>
    <w:rsid w:val="00F227AE"/>
    <w:rsid w:val="00F2288D"/>
    <w:rsid w:val="00F229CA"/>
    <w:rsid w:val="00F22A28"/>
    <w:rsid w:val="00F22C57"/>
    <w:rsid w:val="00F239AE"/>
    <w:rsid w:val="00F23BA6"/>
    <w:rsid w:val="00F23E9C"/>
    <w:rsid w:val="00F24185"/>
    <w:rsid w:val="00F2438E"/>
    <w:rsid w:val="00F24DCF"/>
    <w:rsid w:val="00F25179"/>
    <w:rsid w:val="00F252C8"/>
    <w:rsid w:val="00F2579A"/>
    <w:rsid w:val="00F258DB"/>
    <w:rsid w:val="00F26215"/>
    <w:rsid w:val="00F2630F"/>
    <w:rsid w:val="00F27045"/>
    <w:rsid w:val="00F272B8"/>
    <w:rsid w:val="00F27486"/>
    <w:rsid w:val="00F27533"/>
    <w:rsid w:val="00F2753A"/>
    <w:rsid w:val="00F303A8"/>
    <w:rsid w:val="00F309B0"/>
    <w:rsid w:val="00F30ABE"/>
    <w:rsid w:val="00F31109"/>
    <w:rsid w:val="00F31835"/>
    <w:rsid w:val="00F31B23"/>
    <w:rsid w:val="00F3272C"/>
    <w:rsid w:val="00F347A0"/>
    <w:rsid w:val="00F34826"/>
    <w:rsid w:val="00F353E9"/>
    <w:rsid w:val="00F353F2"/>
    <w:rsid w:val="00F35B22"/>
    <w:rsid w:val="00F36527"/>
    <w:rsid w:val="00F3672E"/>
    <w:rsid w:val="00F379CC"/>
    <w:rsid w:val="00F37AA6"/>
    <w:rsid w:val="00F37D95"/>
    <w:rsid w:val="00F40740"/>
    <w:rsid w:val="00F419C1"/>
    <w:rsid w:val="00F41FB2"/>
    <w:rsid w:val="00F422B8"/>
    <w:rsid w:val="00F42BC7"/>
    <w:rsid w:val="00F43A19"/>
    <w:rsid w:val="00F43B01"/>
    <w:rsid w:val="00F43DB2"/>
    <w:rsid w:val="00F43DD7"/>
    <w:rsid w:val="00F44025"/>
    <w:rsid w:val="00F456C4"/>
    <w:rsid w:val="00F46363"/>
    <w:rsid w:val="00F46A24"/>
    <w:rsid w:val="00F476DD"/>
    <w:rsid w:val="00F47846"/>
    <w:rsid w:val="00F47CE1"/>
    <w:rsid w:val="00F47F36"/>
    <w:rsid w:val="00F502B6"/>
    <w:rsid w:val="00F50C27"/>
    <w:rsid w:val="00F5260D"/>
    <w:rsid w:val="00F52B16"/>
    <w:rsid w:val="00F52C6F"/>
    <w:rsid w:val="00F530D0"/>
    <w:rsid w:val="00F5337D"/>
    <w:rsid w:val="00F53C9B"/>
    <w:rsid w:val="00F53F1A"/>
    <w:rsid w:val="00F54DAA"/>
    <w:rsid w:val="00F54EF0"/>
    <w:rsid w:val="00F55973"/>
    <w:rsid w:val="00F56317"/>
    <w:rsid w:val="00F5641F"/>
    <w:rsid w:val="00F56B4A"/>
    <w:rsid w:val="00F56DCE"/>
    <w:rsid w:val="00F5720E"/>
    <w:rsid w:val="00F57707"/>
    <w:rsid w:val="00F57980"/>
    <w:rsid w:val="00F579F1"/>
    <w:rsid w:val="00F60202"/>
    <w:rsid w:val="00F606FE"/>
    <w:rsid w:val="00F61088"/>
    <w:rsid w:val="00F611FC"/>
    <w:rsid w:val="00F617B7"/>
    <w:rsid w:val="00F618FF"/>
    <w:rsid w:val="00F61A34"/>
    <w:rsid w:val="00F61BD0"/>
    <w:rsid w:val="00F624C1"/>
    <w:rsid w:val="00F6263A"/>
    <w:rsid w:val="00F6297D"/>
    <w:rsid w:val="00F62B0D"/>
    <w:rsid w:val="00F6349E"/>
    <w:rsid w:val="00F638AD"/>
    <w:rsid w:val="00F63D13"/>
    <w:rsid w:val="00F63F9A"/>
    <w:rsid w:val="00F644CD"/>
    <w:rsid w:val="00F647EE"/>
    <w:rsid w:val="00F64B28"/>
    <w:rsid w:val="00F64CE1"/>
    <w:rsid w:val="00F64EC3"/>
    <w:rsid w:val="00F65D72"/>
    <w:rsid w:val="00F662D6"/>
    <w:rsid w:val="00F66493"/>
    <w:rsid w:val="00F66618"/>
    <w:rsid w:val="00F6687F"/>
    <w:rsid w:val="00F668DB"/>
    <w:rsid w:val="00F66923"/>
    <w:rsid w:val="00F66CCE"/>
    <w:rsid w:val="00F671F3"/>
    <w:rsid w:val="00F67A8A"/>
    <w:rsid w:val="00F7012F"/>
    <w:rsid w:val="00F70341"/>
    <w:rsid w:val="00F71933"/>
    <w:rsid w:val="00F71D70"/>
    <w:rsid w:val="00F72465"/>
    <w:rsid w:val="00F727A3"/>
    <w:rsid w:val="00F72A7C"/>
    <w:rsid w:val="00F72ACE"/>
    <w:rsid w:val="00F72ED4"/>
    <w:rsid w:val="00F7394E"/>
    <w:rsid w:val="00F740AB"/>
    <w:rsid w:val="00F74811"/>
    <w:rsid w:val="00F74A9E"/>
    <w:rsid w:val="00F74AAB"/>
    <w:rsid w:val="00F75105"/>
    <w:rsid w:val="00F7512E"/>
    <w:rsid w:val="00F753AF"/>
    <w:rsid w:val="00F75938"/>
    <w:rsid w:val="00F760C5"/>
    <w:rsid w:val="00F7674F"/>
    <w:rsid w:val="00F7686C"/>
    <w:rsid w:val="00F76DCE"/>
    <w:rsid w:val="00F77132"/>
    <w:rsid w:val="00F8009F"/>
    <w:rsid w:val="00F800C9"/>
    <w:rsid w:val="00F807C5"/>
    <w:rsid w:val="00F82B22"/>
    <w:rsid w:val="00F82BCB"/>
    <w:rsid w:val="00F82E61"/>
    <w:rsid w:val="00F83228"/>
    <w:rsid w:val="00F83F69"/>
    <w:rsid w:val="00F842BA"/>
    <w:rsid w:val="00F84302"/>
    <w:rsid w:val="00F84D43"/>
    <w:rsid w:val="00F8551B"/>
    <w:rsid w:val="00F85902"/>
    <w:rsid w:val="00F85A82"/>
    <w:rsid w:val="00F85D00"/>
    <w:rsid w:val="00F86007"/>
    <w:rsid w:val="00F868CF"/>
    <w:rsid w:val="00F8752C"/>
    <w:rsid w:val="00F87F41"/>
    <w:rsid w:val="00F90344"/>
    <w:rsid w:val="00F907BD"/>
    <w:rsid w:val="00F909DD"/>
    <w:rsid w:val="00F90C75"/>
    <w:rsid w:val="00F90D66"/>
    <w:rsid w:val="00F91587"/>
    <w:rsid w:val="00F916C3"/>
    <w:rsid w:val="00F91876"/>
    <w:rsid w:val="00F91DDD"/>
    <w:rsid w:val="00F924C4"/>
    <w:rsid w:val="00F926F3"/>
    <w:rsid w:val="00F9300D"/>
    <w:rsid w:val="00F93043"/>
    <w:rsid w:val="00F9344C"/>
    <w:rsid w:val="00F9353C"/>
    <w:rsid w:val="00F93C79"/>
    <w:rsid w:val="00F94E56"/>
    <w:rsid w:val="00F94F1A"/>
    <w:rsid w:val="00F94F4E"/>
    <w:rsid w:val="00F95753"/>
    <w:rsid w:val="00F95ECB"/>
    <w:rsid w:val="00F96782"/>
    <w:rsid w:val="00F9679E"/>
    <w:rsid w:val="00F97375"/>
    <w:rsid w:val="00F9779E"/>
    <w:rsid w:val="00F97A33"/>
    <w:rsid w:val="00FA0BE2"/>
    <w:rsid w:val="00FA129E"/>
    <w:rsid w:val="00FA1A2D"/>
    <w:rsid w:val="00FA3BFC"/>
    <w:rsid w:val="00FA3E13"/>
    <w:rsid w:val="00FA3E4B"/>
    <w:rsid w:val="00FA3EDC"/>
    <w:rsid w:val="00FA4792"/>
    <w:rsid w:val="00FA541A"/>
    <w:rsid w:val="00FA5BCF"/>
    <w:rsid w:val="00FA5E2E"/>
    <w:rsid w:val="00FA6B23"/>
    <w:rsid w:val="00FA6EE3"/>
    <w:rsid w:val="00FA6FC1"/>
    <w:rsid w:val="00FA73B7"/>
    <w:rsid w:val="00FA7918"/>
    <w:rsid w:val="00FA7E08"/>
    <w:rsid w:val="00FB04B9"/>
    <w:rsid w:val="00FB18C3"/>
    <w:rsid w:val="00FB1ABE"/>
    <w:rsid w:val="00FB208F"/>
    <w:rsid w:val="00FB21BB"/>
    <w:rsid w:val="00FB2532"/>
    <w:rsid w:val="00FB2682"/>
    <w:rsid w:val="00FB3F97"/>
    <w:rsid w:val="00FB442F"/>
    <w:rsid w:val="00FB48E6"/>
    <w:rsid w:val="00FB5A64"/>
    <w:rsid w:val="00FB5E50"/>
    <w:rsid w:val="00FB6500"/>
    <w:rsid w:val="00FB6BB9"/>
    <w:rsid w:val="00FB6D23"/>
    <w:rsid w:val="00FB6F60"/>
    <w:rsid w:val="00FB761D"/>
    <w:rsid w:val="00FB7656"/>
    <w:rsid w:val="00FB7B94"/>
    <w:rsid w:val="00FC04B6"/>
    <w:rsid w:val="00FC07D0"/>
    <w:rsid w:val="00FC1EC4"/>
    <w:rsid w:val="00FC1EDC"/>
    <w:rsid w:val="00FC20D5"/>
    <w:rsid w:val="00FC22FC"/>
    <w:rsid w:val="00FC24FF"/>
    <w:rsid w:val="00FC30B3"/>
    <w:rsid w:val="00FC3798"/>
    <w:rsid w:val="00FC3BC1"/>
    <w:rsid w:val="00FC3F22"/>
    <w:rsid w:val="00FC44E3"/>
    <w:rsid w:val="00FC4C6D"/>
    <w:rsid w:val="00FC4DC7"/>
    <w:rsid w:val="00FC4F46"/>
    <w:rsid w:val="00FC502B"/>
    <w:rsid w:val="00FC54F9"/>
    <w:rsid w:val="00FC5C7F"/>
    <w:rsid w:val="00FC5D90"/>
    <w:rsid w:val="00FC64BD"/>
    <w:rsid w:val="00FC6CCB"/>
    <w:rsid w:val="00FC74BC"/>
    <w:rsid w:val="00FC7AB6"/>
    <w:rsid w:val="00FC7DE9"/>
    <w:rsid w:val="00FD0011"/>
    <w:rsid w:val="00FD1051"/>
    <w:rsid w:val="00FD194A"/>
    <w:rsid w:val="00FD1CAC"/>
    <w:rsid w:val="00FD20E3"/>
    <w:rsid w:val="00FD232B"/>
    <w:rsid w:val="00FD2419"/>
    <w:rsid w:val="00FD29FF"/>
    <w:rsid w:val="00FD2B58"/>
    <w:rsid w:val="00FD2B66"/>
    <w:rsid w:val="00FD3A7E"/>
    <w:rsid w:val="00FD3D92"/>
    <w:rsid w:val="00FD498E"/>
    <w:rsid w:val="00FD4A33"/>
    <w:rsid w:val="00FD4D7C"/>
    <w:rsid w:val="00FD579F"/>
    <w:rsid w:val="00FD6458"/>
    <w:rsid w:val="00FD64D7"/>
    <w:rsid w:val="00FD6C37"/>
    <w:rsid w:val="00FD72DD"/>
    <w:rsid w:val="00FD764C"/>
    <w:rsid w:val="00FD771C"/>
    <w:rsid w:val="00FD79B0"/>
    <w:rsid w:val="00FD7AD5"/>
    <w:rsid w:val="00FD7D33"/>
    <w:rsid w:val="00FD7E4B"/>
    <w:rsid w:val="00FD7EBF"/>
    <w:rsid w:val="00FE078C"/>
    <w:rsid w:val="00FE0D54"/>
    <w:rsid w:val="00FE1226"/>
    <w:rsid w:val="00FE16D1"/>
    <w:rsid w:val="00FE19D7"/>
    <w:rsid w:val="00FE31BC"/>
    <w:rsid w:val="00FE321F"/>
    <w:rsid w:val="00FE3449"/>
    <w:rsid w:val="00FE3691"/>
    <w:rsid w:val="00FE3B8B"/>
    <w:rsid w:val="00FE4780"/>
    <w:rsid w:val="00FE4FD2"/>
    <w:rsid w:val="00FE4FDA"/>
    <w:rsid w:val="00FE5114"/>
    <w:rsid w:val="00FE53ED"/>
    <w:rsid w:val="00FE56EA"/>
    <w:rsid w:val="00FE5B61"/>
    <w:rsid w:val="00FE5D9B"/>
    <w:rsid w:val="00FE6C38"/>
    <w:rsid w:val="00FE71A4"/>
    <w:rsid w:val="00FE71C7"/>
    <w:rsid w:val="00FE754A"/>
    <w:rsid w:val="00FE7C65"/>
    <w:rsid w:val="00FF075A"/>
    <w:rsid w:val="00FF1683"/>
    <w:rsid w:val="00FF1C30"/>
    <w:rsid w:val="00FF1ED4"/>
    <w:rsid w:val="00FF200E"/>
    <w:rsid w:val="00FF340C"/>
    <w:rsid w:val="00FF361F"/>
    <w:rsid w:val="00FF36F4"/>
    <w:rsid w:val="00FF4726"/>
    <w:rsid w:val="00FF4DE4"/>
    <w:rsid w:val="00FF4FCB"/>
    <w:rsid w:val="00FF565D"/>
    <w:rsid w:val="00FF5E64"/>
    <w:rsid w:val="00FF6E8B"/>
    <w:rsid w:val="00FF6EA9"/>
    <w:rsid w:val="00FF7AEE"/>
    <w:rsid w:val="00FF7C6D"/>
    <w:rsid w:val="0E532510"/>
    <w:rsid w:val="0F9539A9"/>
    <w:rsid w:val="119548F4"/>
    <w:rsid w:val="127B0404"/>
    <w:rsid w:val="1BB502FF"/>
    <w:rsid w:val="1F3206AC"/>
    <w:rsid w:val="1F622DE7"/>
    <w:rsid w:val="20891312"/>
    <w:rsid w:val="224A52E0"/>
    <w:rsid w:val="299C6EAC"/>
    <w:rsid w:val="2AC204C4"/>
    <w:rsid w:val="2B240173"/>
    <w:rsid w:val="2C671406"/>
    <w:rsid w:val="320315A5"/>
    <w:rsid w:val="3ABD53B0"/>
    <w:rsid w:val="3B9A71AE"/>
    <w:rsid w:val="3CF853D8"/>
    <w:rsid w:val="3E6E7D3A"/>
    <w:rsid w:val="42BC3C45"/>
    <w:rsid w:val="49FC0250"/>
    <w:rsid w:val="4E1C3816"/>
    <w:rsid w:val="502B32D0"/>
    <w:rsid w:val="59885069"/>
    <w:rsid w:val="59DF138D"/>
    <w:rsid w:val="5DE77EF1"/>
    <w:rsid w:val="5E5C7EFC"/>
    <w:rsid w:val="6571098E"/>
    <w:rsid w:val="67662A82"/>
    <w:rsid w:val="68AA06EE"/>
    <w:rsid w:val="6C975080"/>
    <w:rsid w:val="72004B79"/>
    <w:rsid w:val="748E33B6"/>
    <w:rsid w:val="768D0110"/>
    <w:rsid w:val="77055D41"/>
    <w:rsid w:val="78365A0C"/>
    <w:rsid w:val="7A51005E"/>
    <w:rsid w:val="7B510DDC"/>
    <w:rsid w:val="7DB21E22"/>
    <w:rsid w:val="7ED229A6"/>
    <w:rsid w:val="7EFD38CA"/>
    <w:rsid w:val="FAEE8634"/>
    <w:rsid w:val="FE7F02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仿宋" w:cs="Times New Roman"/>
      <w:kern w:val="2"/>
      <w:sz w:val="30"/>
      <w:szCs w:val="22"/>
      <w:lang w:val="en-US" w:eastAsia="zh-CN" w:bidi="ar-SA"/>
    </w:rPr>
  </w:style>
  <w:style w:type="paragraph" w:styleId="2">
    <w:name w:val="heading 1"/>
    <w:basedOn w:val="1"/>
    <w:next w:val="1"/>
    <w:link w:val="25"/>
    <w:qFormat/>
    <w:uiPriority w:val="0"/>
    <w:pPr>
      <w:keepNext/>
      <w:keepLines/>
      <w:spacing w:before="340" w:after="330" w:line="578" w:lineRule="auto"/>
      <w:jc w:val="center"/>
      <w:outlineLvl w:val="0"/>
    </w:pPr>
    <w:rPr>
      <w:rFonts w:eastAsia="黑体"/>
      <w:b/>
      <w:bCs/>
      <w:kern w:val="44"/>
      <w:sz w:val="32"/>
      <w:szCs w:val="44"/>
    </w:rPr>
  </w:style>
  <w:style w:type="paragraph" w:styleId="3">
    <w:name w:val="heading 2"/>
    <w:basedOn w:val="1"/>
    <w:next w:val="1"/>
    <w:link w:val="26"/>
    <w:qFormat/>
    <w:uiPriority w:val="0"/>
    <w:pPr>
      <w:keepNext/>
      <w:keepLines/>
      <w:spacing w:before="260" w:after="260" w:line="416" w:lineRule="auto"/>
      <w:jc w:val="center"/>
      <w:outlineLvl w:val="1"/>
    </w:pPr>
    <w:rPr>
      <w:rFonts w:eastAsia="楷体"/>
      <w:b/>
      <w:bCs/>
      <w:szCs w:val="32"/>
    </w:rPr>
  </w:style>
  <w:style w:type="paragraph" w:styleId="4">
    <w:name w:val="heading 3"/>
    <w:basedOn w:val="1"/>
    <w:next w:val="1"/>
    <w:link w:val="27"/>
    <w:qFormat/>
    <w:uiPriority w:val="0"/>
    <w:pPr>
      <w:keepNext/>
      <w:keepLines/>
      <w:spacing w:before="260" w:after="260" w:line="416" w:lineRule="auto"/>
      <w:ind w:left="630" w:leftChars="100" w:right="100" w:rightChars="100"/>
      <w:outlineLvl w:val="2"/>
    </w:pPr>
    <w:rPr>
      <w:rFonts w:eastAsia="宋体"/>
      <w:b/>
      <w:bCs/>
      <w:sz w:val="32"/>
      <w:szCs w:val="32"/>
    </w:rPr>
  </w:style>
  <w:style w:type="paragraph" w:styleId="5">
    <w:name w:val="heading 4"/>
    <w:basedOn w:val="1"/>
    <w:next w:val="1"/>
    <w:link w:val="28"/>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contextualSpacing/>
      <w:jc w:val="center"/>
    </w:pPr>
    <w:rPr>
      <w:rFonts w:ascii="仿宋" w:hAnsi="仿宋"/>
      <w:b/>
      <w:sz w:val="24"/>
      <w:szCs w:val="20"/>
    </w:rPr>
  </w:style>
  <w:style w:type="paragraph" w:styleId="7">
    <w:name w:val="Document Map"/>
    <w:basedOn w:val="1"/>
    <w:link w:val="29"/>
    <w:unhideWhenUsed/>
    <w:qFormat/>
    <w:uiPriority w:val="0"/>
    <w:rPr>
      <w:rFonts w:eastAsia="宋体"/>
      <w:sz w:val="18"/>
      <w:szCs w:val="18"/>
    </w:rPr>
  </w:style>
  <w:style w:type="paragraph" w:styleId="8">
    <w:name w:val="annotation text"/>
    <w:basedOn w:val="1"/>
    <w:link w:val="30"/>
    <w:qFormat/>
    <w:uiPriority w:val="0"/>
    <w:pPr>
      <w:jc w:val="left"/>
    </w:pPr>
    <w:rPr>
      <w:rFonts w:ascii="Calibri" w:hAnsi="Calibri" w:eastAsia="宋体"/>
      <w:sz w:val="21"/>
    </w:rPr>
  </w:style>
  <w:style w:type="paragraph" w:styleId="9">
    <w:name w:val="Date"/>
    <w:basedOn w:val="1"/>
    <w:next w:val="1"/>
    <w:link w:val="31"/>
    <w:qFormat/>
    <w:uiPriority w:val="0"/>
    <w:pPr>
      <w:ind w:left="100" w:leftChars="2500"/>
    </w:pPr>
  </w:style>
  <w:style w:type="paragraph" w:styleId="10">
    <w:name w:val="Balloon Text"/>
    <w:basedOn w:val="1"/>
    <w:link w:val="32"/>
    <w:qFormat/>
    <w:uiPriority w:val="0"/>
    <w:rPr>
      <w:rFonts w:ascii="Calibri" w:hAnsi="Calibri" w:eastAsia="宋体"/>
      <w:sz w:val="18"/>
      <w:szCs w:val="18"/>
    </w:rPr>
  </w:style>
  <w:style w:type="paragraph" w:styleId="11">
    <w:name w:val="footer"/>
    <w:basedOn w:val="1"/>
    <w:link w:val="33"/>
    <w:qFormat/>
    <w:uiPriority w:val="99"/>
    <w:pPr>
      <w:tabs>
        <w:tab w:val="center" w:pos="4153"/>
        <w:tab w:val="right" w:pos="8306"/>
      </w:tabs>
      <w:snapToGrid w:val="0"/>
      <w:jc w:val="left"/>
    </w:pPr>
    <w:rPr>
      <w:rFonts w:ascii="Calibri" w:hAnsi="Calibri" w:eastAsia="宋体"/>
      <w:sz w:val="18"/>
      <w:szCs w:val="18"/>
    </w:rPr>
  </w:style>
  <w:style w:type="paragraph" w:styleId="12">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Subtitle"/>
    <w:basedOn w:val="1"/>
    <w:next w:val="1"/>
    <w:link w:val="35"/>
    <w:qFormat/>
    <w:uiPriority w:val="0"/>
    <w:pPr>
      <w:spacing w:before="240" w:after="60" w:line="312" w:lineRule="auto"/>
      <w:jc w:val="center"/>
      <w:outlineLvl w:val="1"/>
    </w:pPr>
    <w:rPr>
      <w:rFonts w:ascii="等线" w:hAnsi="等线" w:eastAsia="等线"/>
      <w:b/>
      <w:bCs/>
      <w:kern w:val="28"/>
      <w:sz w:val="32"/>
      <w:szCs w:val="32"/>
    </w:rPr>
  </w:style>
  <w:style w:type="paragraph" w:styleId="15">
    <w:name w:val="footnote text"/>
    <w:basedOn w:val="1"/>
    <w:link w:val="36"/>
    <w:unhideWhenUsed/>
    <w:qFormat/>
    <w:uiPriority w:val="0"/>
    <w:pPr>
      <w:snapToGrid w:val="0"/>
      <w:jc w:val="left"/>
    </w:pPr>
    <w:rPr>
      <w:sz w:val="18"/>
      <w:szCs w:val="18"/>
    </w:rPr>
  </w:style>
  <w:style w:type="paragraph" w:styleId="16">
    <w:name w:val="toc 2"/>
    <w:basedOn w:val="1"/>
    <w:next w:val="1"/>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eastAsia="宋体" w:cs="宋体"/>
      <w:kern w:val="0"/>
      <w:sz w:val="24"/>
      <w:szCs w:val="24"/>
    </w:rPr>
  </w:style>
  <w:style w:type="paragraph" w:styleId="18">
    <w:name w:val="annotation subject"/>
    <w:basedOn w:val="8"/>
    <w:next w:val="8"/>
    <w:link w:val="37"/>
    <w:qFormat/>
    <w:uiPriority w:val="0"/>
    <w:rPr>
      <w:b/>
      <w:bCs/>
    </w:rPr>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Hyperlink"/>
    <w:unhideWhenUsed/>
    <w:qFormat/>
    <w:uiPriority w:val="99"/>
    <w:rPr>
      <w:color w:val="0563C1"/>
      <w:u w:val="single"/>
    </w:rPr>
  </w:style>
  <w:style w:type="character" w:styleId="23">
    <w:name w:val="annotation reference"/>
    <w:qFormat/>
    <w:uiPriority w:val="0"/>
    <w:rPr>
      <w:sz w:val="21"/>
      <w:szCs w:val="21"/>
    </w:rPr>
  </w:style>
  <w:style w:type="character" w:styleId="24">
    <w:name w:val="footnote reference"/>
    <w:unhideWhenUsed/>
    <w:qFormat/>
    <w:uiPriority w:val="0"/>
    <w:rPr>
      <w:vertAlign w:val="superscript"/>
    </w:rPr>
  </w:style>
  <w:style w:type="character" w:customStyle="1" w:styleId="25">
    <w:name w:val="标题 1 Char"/>
    <w:link w:val="2"/>
    <w:qFormat/>
    <w:uiPriority w:val="0"/>
    <w:rPr>
      <w:rFonts w:ascii="宋体" w:hAnsi="宋体" w:eastAsia="黑体"/>
      <w:b/>
      <w:bCs/>
      <w:kern w:val="44"/>
      <w:sz w:val="32"/>
      <w:szCs w:val="44"/>
    </w:rPr>
  </w:style>
  <w:style w:type="character" w:customStyle="1" w:styleId="26">
    <w:name w:val="标题 2 Char"/>
    <w:link w:val="3"/>
    <w:qFormat/>
    <w:uiPriority w:val="0"/>
    <w:rPr>
      <w:rFonts w:ascii="宋体" w:hAnsi="宋体" w:eastAsia="楷体" w:cs="Times New Roman"/>
      <w:b/>
      <w:bCs/>
      <w:kern w:val="2"/>
      <w:sz w:val="30"/>
      <w:szCs w:val="32"/>
    </w:rPr>
  </w:style>
  <w:style w:type="character" w:customStyle="1" w:styleId="27">
    <w:name w:val="标题 3 Char"/>
    <w:link w:val="4"/>
    <w:qFormat/>
    <w:uiPriority w:val="0"/>
    <w:rPr>
      <w:rFonts w:ascii="宋体" w:hAnsi="宋体"/>
      <w:b/>
      <w:bCs/>
      <w:kern w:val="2"/>
      <w:sz w:val="32"/>
      <w:szCs w:val="32"/>
    </w:rPr>
  </w:style>
  <w:style w:type="character" w:customStyle="1" w:styleId="28">
    <w:name w:val="标题 4 Char"/>
    <w:link w:val="5"/>
    <w:semiHidden/>
    <w:qFormat/>
    <w:uiPriority w:val="0"/>
    <w:rPr>
      <w:rFonts w:ascii="等线 Light" w:hAnsi="等线 Light" w:eastAsia="等线 Light" w:cs="Times New Roman"/>
      <w:b/>
      <w:bCs/>
      <w:kern w:val="2"/>
      <w:sz w:val="28"/>
      <w:szCs w:val="28"/>
    </w:rPr>
  </w:style>
  <w:style w:type="character" w:customStyle="1" w:styleId="29">
    <w:name w:val="文档结构图 Char"/>
    <w:link w:val="7"/>
    <w:semiHidden/>
    <w:qFormat/>
    <w:uiPriority w:val="0"/>
    <w:rPr>
      <w:rFonts w:ascii="宋体" w:hAnsi="宋体"/>
      <w:kern w:val="2"/>
      <w:sz w:val="18"/>
      <w:szCs w:val="18"/>
    </w:rPr>
  </w:style>
  <w:style w:type="character" w:customStyle="1" w:styleId="30">
    <w:name w:val="批注文字 Char"/>
    <w:link w:val="8"/>
    <w:qFormat/>
    <w:uiPriority w:val="0"/>
    <w:rPr>
      <w:rFonts w:ascii="Calibri" w:hAnsi="Calibri"/>
      <w:kern w:val="2"/>
      <w:sz w:val="21"/>
      <w:szCs w:val="22"/>
    </w:rPr>
  </w:style>
  <w:style w:type="character" w:customStyle="1" w:styleId="31">
    <w:name w:val="日期 Char"/>
    <w:link w:val="9"/>
    <w:qFormat/>
    <w:uiPriority w:val="0"/>
    <w:rPr>
      <w:rFonts w:ascii="宋体" w:hAnsi="宋体" w:eastAsia="仿宋"/>
      <w:kern w:val="2"/>
      <w:sz w:val="30"/>
      <w:szCs w:val="22"/>
    </w:rPr>
  </w:style>
  <w:style w:type="character" w:customStyle="1" w:styleId="32">
    <w:name w:val="批注框文本 Char"/>
    <w:link w:val="10"/>
    <w:qFormat/>
    <w:uiPriority w:val="0"/>
    <w:rPr>
      <w:rFonts w:ascii="Calibri" w:hAnsi="Calibri"/>
      <w:kern w:val="2"/>
      <w:sz w:val="18"/>
      <w:szCs w:val="18"/>
    </w:rPr>
  </w:style>
  <w:style w:type="character" w:customStyle="1" w:styleId="33">
    <w:name w:val="页脚 Char"/>
    <w:link w:val="11"/>
    <w:qFormat/>
    <w:uiPriority w:val="99"/>
    <w:rPr>
      <w:rFonts w:ascii="Calibri" w:hAnsi="Calibri"/>
      <w:kern w:val="2"/>
      <w:sz w:val="18"/>
      <w:szCs w:val="18"/>
    </w:rPr>
  </w:style>
  <w:style w:type="character" w:customStyle="1" w:styleId="34">
    <w:name w:val="页眉 Char"/>
    <w:link w:val="12"/>
    <w:qFormat/>
    <w:uiPriority w:val="0"/>
    <w:rPr>
      <w:rFonts w:ascii="宋体" w:hAnsi="宋体" w:eastAsia="仿宋"/>
      <w:kern w:val="2"/>
      <w:sz w:val="18"/>
      <w:szCs w:val="18"/>
    </w:rPr>
  </w:style>
  <w:style w:type="character" w:customStyle="1" w:styleId="35">
    <w:name w:val="副标题 Char"/>
    <w:link w:val="14"/>
    <w:qFormat/>
    <w:uiPriority w:val="0"/>
    <w:rPr>
      <w:rFonts w:ascii="等线" w:hAnsi="等线" w:eastAsia="等线" w:cs="Times New Roman"/>
      <w:b/>
      <w:bCs/>
      <w:kern w:val="28"/>
      <w:sz w:val="32"/>
      <w:szCs w:val="32"/>
    </w:rPr>
  </w:style>
  <w:style w:type="character" w:customStyle="1" w:styleId="36">
    <w:name w:val="脚注文本 Char"/>
    <w:link w:val="15"/>
    <w:semiHidden/>
    <w:qFormat/>
    <w:uiPriority w:val="0"/>
    <w:rPr>
      <w:rFonts w:ascii="宋体" w:hAnsi="宋体" w:eastAsia="仿宋"/>
      <w:kern w:val="2"/>
      <w:sz w:val="18"/>
      <w:szCs w:val="18"/>
    </w:rPr>
  </w:style>
  <w:style w:type="character" w:customStyle="1" w:styleId="37">
    <w:name w:val="批注主题 Char"/>
    <w:link w:val="18"/>
    <w:qFormat/>
    <w:uiPriority w:val="0"/>
    <w:rPr>
      <w:rFonts w:ascii="Calibri" w:hAnsi="Calibri"/>
      <w:b/>
      <w:bCs/>
      <w:kern w:val="2"/>
      <w:sz w:val="21"/>
      <w:szCs w:val="22"/>
    </w:rPr>
  </w:style>
  <w:style w:type="paragraph" w:customStyle="1" w:styleId="38">
    <w:name w:val="TOC 31"/>
    <w:basedOn w:val="1"/>
    <w:next w:val="1"/>
    <w:unhideWhenUsed/>
    <w:qFormat/>
    <w:uiPriority w:val="39"/>
    <w:pPr>
      <w:tabs>
        <w:tab w:val="right" w:leader="dot" w:pos="9344"/>
      </w:tabs>
      <w:spacing w:line="240" w:lineRule="auto"/>
      <w:ind w:left="1200" w:leftChars="400"/>
    </w:pPr>
    <w:rPr>
      <w:rFonts w:ascii="仿宋" w:hAnsi="仿宋"/>
      <w:sz w:val="28"/>
      <w:szCs w:val="28"/>
    </w:rPr>
  </w:style>
  <w:style w:type="paragraph" w:customStyle="1" w:styleId="39">
    <w:name w:val="TOC 11"/>
    <w:basedOn w:val="1"/>
    <w:next w:val="1"/>
    <w:qFormat/>
    <w:uiPriority w:val="39"/>
  </w:style>
  <w:style w:type="paragraph" w:customStyle="1" w:styleId="40">
    <w:name w:val="TOC 21"/>
    <w:basedOn w:val="1"/>
    <w:next w:val="1"/>
    <w:qFormat/>
    <w:uiPriority w:val="39"/>
    <w:pPr>
      <w:ind w:left="420" w:leftChars="200"/>
    </w:pPr>
  </w:style>
  <w:style w:type="paragraph" w:customStyle="1" w:styleId="41">
    <w:name w:val="列表段落1"/>
    <w:basedOn w:val="1"/>
    <w:qFormat/>
    <w:uiPriority w:val="34"/>
    <w:pPr>
      <w:ind w:firstLine="420" w:firstLineChars="200"/>
    </w:pPr>
  </w:style>
  <w:style w:type="paragraph" w:customStyle="1" w:styleId="42">
    <w:name w:val="标题4"/>
    <w:basedOn w:val="1"/>
    <w:link w:val="43"/>
    <w:qFormat/>
    <w:uiPriority w:val="0"/>
    <w:pPr>
      <w:ind w:left="100" w:leftChars="100" w:right="100" w:rightChars="100" w:firstLine="562" w:firstLineChars="200"/>
    </w:pPr>
    <w:rPr>
      <w:b/>
    </w:rPr>
  </w:style>
  <w:style w:type="character" w:customStyle="1" w:styleId="43">
    <w:name w:val="标题4 字符"/>
    <w:link w:val="42"/>
    <w:qFormat/>
    <w:uiPriority w:val="0"/>
    <w:rPr>
      <w:rFonts w:ascii="宋体" w:hAnsi="宋体" w:eastAsia="仿宋"/>
      <w:b/>
      <w:kern w:val="2"/>
      <w:sz w:val="30"/>
      <w:szCs w:val="22"/>
    </w:rPr>
  </w:style>
  <w:style w:type="paragraph" w:customStyle="1" w:styleId="44">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Cs w:val="32"/>
    </w:rPr>
  </w:style>
  <w:style w:type="character" w:customStyle="1" w:styleId="45">
    <w:name w:val="fontstyle01"/>
    <w:qFormat/>
    <w:uiPriority w:val="0"/>
    <w:rPr>
      <w:rFonts w:hint="eastAsia" w:ascii="宋体" w:hAnsi="宋体" w:eastAsia="宋体"/>
      <w:color w:val="000000"/>
      <w:sz w:val="24"/>
      <w:szCs w:val="24"/>
    </w:rPr>
  </w:style>
  <w:style w:type="paragraph" w:customStyle="1" w:styleId="46">
    <w:name w:val="修订1"/>
    <w:semiHidden/>
    <w:qFormat/>
    <w:uiPriority w:val="99"/>
    <w:rPr>
      <w:rFonts w:ascii="宋体" w:hAnsi="宋体" w:eastAsia="仿宋" w:cs="Times New Roman"/>
      <w:kern w:val="2"/>
      <w:sz w:val="30"/>
      <w:szCs w:val="22"/>
      <w:lang w:val="en-US" w:eastAsia="zh-CN" w:bidi="ar-SA"/>
    </w:rPr>
  </w:style>
  <w:style w:type="character" w:customStyle="1" w:styleId="47">
    <w:name w:val="批注文字 字符"/>
    <w:qFormat/>
    <w:uiPriority w:val="0"/>
    <w:rPr>
      <w:rFonts w:ascii="Calibri" w:hAnsi="Calibri"/>
      <w:kern w:val="2"/>
      <w:sz w:val="21"/>
      <w:szCs w:val="22"/>
    </w:rPr>
  </w:style>
  <w:style w:type="paragraph" w:customStyle="1" w:styleId="48">
    <w:name w:val="修订2"/>
    <w:semiHidden/>
    <w:qFormat/>
    <w:uiPriority w:val="99"/>
    <w:rPr>
      <w:rFonts w:ascii="宋体" w:hAnsi="宋体" w:eastAsia="仿宋" w:cs="Times New Roman"/>
      <w:kern w:val="2"/>
      <w:sz w:val="30"/>
      <w:szCs w:val="22"/>
      <w:lang w:val="en-US" w:eastAsia="zh-CN" w:bidi="ar-SA"/>
    </w:rPr>
  </w:style>
  <w:style w:type="paragraph" w:customStyle="1" w:styleId="49">
    <w:name w:val="修订3"/>
    <w:hidden/>
    <w:unhideWhenUsed/>
    <w:qFormat/>
    <w:uiPriority w:val="99"/>
    <w:rPr>
      <w:rFonts w:ascii="宋体" w:hAnsi="宋体" w:eastAsia="仿宋" w:cs="Times New Roman"/>
      <w:kern w:val="2"/>
      <w:sz w:val="30"/>
      <w:szCs w:val="22"/>
      <w:lang w:val="en-US" w:eastAsia="zh-CN" w:bidi="ar-SA"/>
    </w:rPr>
  </w:style>
  <w:style w:type="character" w:styleId="50">
    <w:name w:val="Placeholder Text"/>
    <w:basedOn w:val="2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26604</Words>
  <Characters>3477</Characters>
  <Lines>28</Lines>
  <Paragraphs>60</Paragraphs>
  <TotalTime>62</TotalTime>
  <ScaleCrop>false</ScaleCrop>
  <LinksUpToDate>false</LinksUpToDate>
  <CharactersWithSpaces>30021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2021-11-11T05:49:00Z</dcterms:created>
  <dc:creator>微软用户</dc:creator>
  <cp:lastModifiedBy>xmadmin</cp:lastModifiedBy>
  <cp:lastPrinted>2021-12-29T02:52:00Z</cp:lastPrinted>
  <dcterms:modified xsi:type="dcterms:W3CDTF">2022-07-19T08:40:03Z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A322D3389BCA47209E12ACF0045F8BD6</vt:lpwstr>
  </property>
</Properties>
</file>