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sz w:val="28"/>
          <w:lang w:val="en-US" w:eastAsia="zh-CN"/>
        </w:rPr>
      </w:pPr>
      <w:r>
        <w:rPr>
          <w:rFonts w:hint="eastAsia"/>
          <w:sz w:val="28"/>
          <w:lang w:eastAsia="zh-CN"/>
        </w:rPr>
        <w:t>附件</w:t>
      </w:r>
      <w:r>
        <w:rPr>
          <w:rFonts w:hint="eastAsia"/>
          <w:sz w:val="28"/>
          <w:lang w:val="en-US" w:eastAsia="zh-CN"/>
        </w:rPr>
        <w:t>2：</w:t>
      </w:r>
    </w:p>
    <w:p>
      <w:pPr>
        <w:jc w:val="center"/>
        <w:rPr>
          <w:rFonts w:hint="eastAsia"/>
          <w:sz w:val="28"/>
        </w:rPr>
      </w:pPr>
      <w:r>
        <w:rPr>
          <w:rFonts w:hint="eastAsia"/>
          <w:sz w:val="28"/>
        </w:rPr>
        <w:t>联评联审项目可研内容对照表（收件对照清单）</w:t>
      </w:r>
    </w:p>
    <w:p>
      <w:pPr>
        <w:jc w:val="center"/>
        <w:rPr>
          <w:rFonts w:hint="eastAsia" w:eastAsiaTheme="minorEastAsia"/>
          <w:sz w:val="28"/>
          <w:lang w:eastAsia="zh-CN"/>
        </w:rPr>
      </w:pPr>
      <w:r>
        <w:rPr>
          <w:rFonts w:hint="eastAsia"/>
          <w:sz w:val="28"/>
          <w:lang w:eastAsia="zh-CN"/>
        </w:rPr>
        <w:t>（</w:t>
      </w:r>
      <w:r>
        <w:rPr>
          <w:rFonts w:hint="eastAsia"/>
          <w:sz w:val="28"/>
          <w:lang w:val="en-US" w:eastAsia="zh-CN"/>
        </w:rPr>
        <w:t>2023年版</w:t>
      </w:r>
      <w:r>
        <w:rPr>
          <w:rFonts w:hint="eastAsia"/>
          <w:sz w:val="28"/>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项目</w:t>
      </w:r>
      <w:r>
        <w:rPr>
          <w:rFonts w:hint="default" w:ascii="Times New Roman" w:hAnsi="Times New Roman" w:cs="Times New Roman"/>
          <w:sz w:val="24"/>
          <w:lang w:val="en-US" w:eastAsia="zh-CN"/>
        </w:rPr>
        <w:t>可行性研究报告编制应严格按照《国家发展改革委关于印发投资项目可行性研究报告编写大纲及说明的通知》（发改投资规〔2023〕304号）执行，</w:t>
      </w:r>
      <w:r>
        <w:rPr>
          <w:rFonts w:hint="eastAsia" w:ascii="Times New Roman" w:hAnsi="Times New Roman" w:cs="Times New Roman"/>
          <w:sz w:val="24"/>
          <w:lang w:val="en-US" w:eastAsia="zh-CN"/>
        </w:rPr>
        <w:t>可根据项目性质、特点、规模，并</w:t>
      </w:r>
      <w:r>
        <w:rPr>
          <w:rFonts w:hint="default" w:ascii="Times New Roman" w:hAnsi="Times New Roman" w:cs="Times New Roman"/>
          <w:sz w:val="24"/>
          <w:lang w:val="en-US" w:eastAsia="zh-CN"/>
        </w:rPr>
        <w:t>结合厦门实际情况</w:t>
      </w:r>
      <w:r>
        <w:rPr>
          <w:rFonts w:hint="eastAsia" w:ascii="Times New Roman" w:hAnsi="Times New Roman" w:cs="Times New Roman"/>
          <w:sz w:val="24"/>
          <w:lang w:val="en-US" w:eastAsia="zh-CN"/>
        </w:rPr>
        <w:t>适当简化，可行性研究报告内容论证充分的打“</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”，未论证到位或缺失的打“×”，本项目不需论证的打“/”。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rPr>
      </w:pPr>
      <w:r>
        <w:rPr>
          <w:rFonts w:hint="default" w:ascii="Times New Roman" w:hAnsi="Times New Roman" w:cs="Times New Roman"/>
          <w:sz w:val="24"/>
        </w:rPr>
        <w:t>一、项目建设必要性和建设时机的适当性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阐述项目与相关规划的衔接性及重大政策目标的符合性</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需求分析</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功能定位论证</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4</w:t>
      </w:r>
      <w:r>
        <w:rPr>
          <w:rFonts w:hint="eastAsia" w:ascii="Times New Roman" w:hAnsi="Times New Roman" w:cs="Times New Roman"/>
          <w:sz w:val="24"/>
          <w:lang w:eastAsia="zh-CN"/>
        </w:rPr>
        <w:t>．</w:t>
      </w:r>
      <w:r>
        <w:rPr>
          <w:rFonts w:hint="default" w:ascii="Times New Roman" w:hAnsi="Times New Roman" w:cs="Times New Roman"/>
          <w:sz w:val="24"/>
        </w:rPr>
        <w:t>主要建设内容及规模、建设标准论证</w:t>
      </w:r>
      <w:r>
        <w:rPr>
          <w:rFonts w:hint="eastAsia" w:ascii="Times New Roman" w:hAnsi="Times New Roman" w:cs="Times New Roman"/>
          <w:sz w:val="24"/>
          <w:lang w:val="en-US" w:eastAsia="zh-CN"/>
        </w:rPr>
        <w:t xml:space="preserve">         </w:t>
      </w:r>
      <w:bookmarkStart w:id="0" w:name="_GoBack"/>
      <w:bookmarkEnd w:id="0"/>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5</w:t>
      </w:r>
      <w:r>
        <w:rPr>
          <w:rFonts w:hint="eastAsia" w:ascii="Times New Roman" w:hAnsi="Times New Roman" w:cs="Times New Roman"/>
          <w:sz w:val="24"/>
          <w:lang w:eastAsia="zh-CN"/>
        </w:rPr>
        <w:t>．</w:t>
      </w:r>
      <w:r>
        <w:rPr>
          <w:rFonts w:hint="default" w:ascii="Times New Roman" w:hAnsi="Times New Roman" w:cs="Times New Roman"/>
          <w:sz w:val="24"/>
        </w:rPr>
        <w:t>项目建设的必要性、建设时机的适当性，以及实施的紧迫性论证</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二、方案可行性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eastAsia" w:ascii="Times New Roman" w:hAnsi="Times New Roman" w:cs="Times New Roman"/>
          <w:sz w:val="24"/>
          <w:lang w:eastAsia="zh-CN"/>
        </w:rPr>
        <w:t>㈠</w:t>
      </w:r>
      <w:r>
        <w:rPr>
          <w:rFonts w:hint="default" w:ascii="Times New Roman" w:hAnsi="Times New Roman" w:cs="Times New Roman"/>
          <w:sz w:val="24"/>
          <w:lang w:val="en" w:eastAsia="zh-CN"/>
        </w:rPr>
        <w:t xml:space="preserve"> </w:t>
      </w:r>
      <w:r>
        <w:rPr>
          <w:rFonts w:hint="default" w:ascii="Times New Roman" w:hAnsi="Times New Roman" w:cs="Times New Roman"/>
          <w:sz w:val="24"/>
        </w:rPr>
        <w:t>项目要素保障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场址或线位多方案比选论证</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分析建设条件保障情况</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分析项目资源消耗情况及保障能力</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4</w:t>
      </w:r>
      <w:r>
        <w:rPr>
          <w:rFonts w:hint="eastAsia" w:ascii="Times New Roman" w:hAnsi="Times New Roman" w:cs="Times New Roman"/>
          <w:sz w:val="24"/>
          <w:lang w:eastAsia="zh-CN"/>
        </w:rPr>
        <w:t>．</w:t>
      </w:r>
      <w:r>
        <w:rPr>
          <w:rFonts w:hint="default" w:ascii="Times New Roman" w:hAnsi="Times New Roman" w:cs="Times New Roman"/>
          <w:sz w:val="24"/>
        </w:rPr>
        <w:t>关键要素保障落实情况</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eastAsia" w:ascii="Times New Roman" w:hAnsi="Times New Roman" w:cs="Times New Roman"/>
          <w:sz w:val="24"/>
          <w:lang w:eastAsia="zh-CN"/>
        </w:rPr>
        <w:t>㈡</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工程可行性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技术方案比选</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设备方案比选</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工程方案比选</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4</w:t>
      </w:r>
      <w:r>
        <w:rPr>
          <w:rFonts w:hint="eastAsia" w:ascii="Times New Roman" w:hAnsi="Times New Roman" w:cs="Times New Roman"/>
          <w:sz w:val="24"/>
          <w:lang w:eastAsia="zh-CN"/>
        </w:rPr>
        <w:t>．土地房屋征收</w:t>
      </w:r>
      <w:r>
        <w:rPr>
          <w:rFonts w:hint="default" w:ascii="Times New Roman" w:hAnsi="Times New Roman" w:cs="Times New Roman"/>
          <w:sz w:val="24"/>
        </w:rPr>
        <w:t>及迁改方案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5</w:t>
      </w:r>
      <w:r>
        <w:rPr>
          <w:rFonts w:hint="eastAsia" w:ascii="Times New Roman" w:hAnsi="Times New Roman" w:cs="Times New Roman"/>
          <w:sz w:val="24"/>
          <w:lang w:eastAsia="zh-CN"/>
        </w:rPr>
        <w:t>．</w:t>
      </w:r>
      <w:r>
        <w:rPr>
          <w:rFonts w:hint="default" w:ascii="Times New Roman" w:hAnsi="Times New Roman" w:cs="Times New Roman"/>
          <w:sz w:val="24"/>
        </w:rPr>
        <w:t>数字化方案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6</w:t>
      </w:r>
      <w:r>
        <w:rPr>
          <w:rFonts w:hint="eastAsia" w:ascii="Times New Roman" w:hAnsi="Times New Roman" w:cs="Times New Roman"/>
          <w:sz w:val="24"/>
          <w:lang w:eastAsia="zh-CN"/>
        </w:rPr>
        <w:t>．</w:t>
      </w:r>
      <w:r>
        <w:rPr>
          <w:rFonts w:hint="default" w:ascii="Times New Roman" w:hAnsi="Times New Roman" w:cs="Times New Roman"/>
          <w:sz w:val="24"/>
        </w:rPr>
        <w:t>建设管理方案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eastAsia" w:ascii="Times New Roman" w:hAnsi="Times New Roman" w:cs="Times New Roman"/>
          <w:sz w:val="24"/>
          <w:lang w:eastAsia="zh-CN"/>
        </w:rPr>
        <w:t>㈢</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项目运营有效性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运营模式</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运营组织方案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安全保障方案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4</w:t>
      </w:r>
      <w:r>
        <w:rPr>
          <w:rFonts w:hint="eastAsia" w:ascii="Times New Roman" w:hAnsi="Times New Roman" w:cs="Times New Roman"/>
          <w:sz w:val="24"/>
          <w:lang w:eastAsia="zh-CN"/>
        </w:rPr>
        <w:t>．</w:t>
      </w:r>
      <w:r>
        <w:rPr>
          <w:rFonts w:hint="default" w:ascii="Times New Roman" w:hAnsi="Times New Roman" w:cs="Times New Roman"/>
          <w:sz w:val="24"/>
        </w:rPr>
        <w:t>绩效管理方案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5</w:t>
      </w:r>
      <w:r>
        <w:rPr>
          <w:rFonts w:hint="eastAsia" w:ascii="Times New Roman" w:hAnsi="Times New Roman" w:cs="Times New Roman"/>
          <w:sz w:val="24"/>
          <w:lang w:eastAsia="zh-CN"/>
        </w:rPr>
        <w:t>．</w:t>
      </w:r>
      <w:r>
        <w:rPr>
          <w:rFonts w:hint="default" w:ascii="Times New Roman" w:hAnsi="Times New Roman" w:cs="Times New Roman"/>
          <w:sz w:val="24"/>
        </w:rPr>
        <w:t>分析评价全生命周期内投入产出效果</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eastAsia" w:ascii="Times New Roman" w:hAnsi="Times New Roman" w:cs="Times New Roman"/>
          <w:sz w:val="24"/>
          <w:lang w:eastAsia="zh-CN"/>
        </w:rPr>
        <w:t>㈣</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财务合理性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投资估（概）算</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全生命周期资金平衡分析，分析评价财政可负担性提出开源节流措施</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投融资模式研究，分析评价项目可融性、融资方案、债务清偿能力、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财务可持续性等</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eastAsia" w:ascii="Times New Roman" w:hAnsi="Times New Roman" w:cs="Times New Roman"/>
          <w:sz w:val="24"/>
          <w:lang w:eastAsia="zh-CN"/>
        </w:rPr>
        <w:t>㈤</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影响可持续性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经济影响</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社会影响</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生态环境影响</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4</w:t>
      </w:r>
      <w:r>
        <w:rPr>
          <w:rFonts w:hint="eastAsia" w:ascii="Times New Roman" w:hAnsi="Times New Roman" w:cs="Times New Roman"/>
          <w:sz w:val="24"/>
          <w:lang w:eastAsia="zh-CN"/>
        </w:rPr>
        <w:t>．</w:t>
      </w:r>
      <w:r>
        <w:rPr>
          <w:rFonts w:hint="default" w:ascii="Times New Roman" w:hAnsi="Times New Roman" w:cs="Times New Roman"/>
          <w:sz w:val="24"/>
        </w:rPr>
        <w:t>资源和能源利用效果</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5</w:t>
      </w:r>
      <w:r>
        <w:rPr>
          <w:rFonts w:hint="eastAsia" w:ascii="Times New Roman" w:hAnsi="Times New Roman" w:cs="Times New Roman"/>
          <w:sz w:val="24"/>
          <w:lang w:eastAsia="zh-CN"/>
        </w:rPr>
        <w:t>．</w:t>
      </w:r>
      <w:r>
        <w:rPr>
          <w:rFonts w:hint="default" w:ascii="Times New Roman" w:hAnsi="Times New Roman" w:cs="Times New Roman"/>
          <w:sz w:val="24"/>
        </w:rPr>
        <w:t>碳达峰碳中和</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u w:val="none"/>
          <w:lang w:val="en-US" w:eastAsia="zh-CN"/>
        </w:rPr>
      </w:pPr>
      <w:r>
        <w:rPr>
          <w:rFonts w:hint="default" w:ascii="Times New Roman" w:hAnsi="Times New Roman" w:cs="Times New Roman"/>
          <w:sz w:val="24"/>
        </w:rPr>
        <w:t>6</w:t>
      </w:r>
      <w:r>
        <w:rPr>
          <w:rFonts w:hint="eastAsia" w:ascii="Times New Roman" w:hAnsi="Times New Roman" w:cs="Times New Roman"/>
          <w:sz w:val="24"/>
          <w:lang w:eastAsia="zh-CN"/>
        </w:rPr>
        <w:t>．</w:t>
      </w:r>
      <w:r>
        <w:rPr>
          <w:rFonts w:hint="default" w:ascii="Times New Roman" w:hAnsi="Times New Roman" w:cs="Times New Roman"/>
          <w:sz w:val="24"/>
        </w:rPr>
        <w:t>其他</w:t>
      </w:r>
      <w:r>
        <w:rPr>
          <w:rFonts w:hint="default"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u w:val="none"/>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三、风险可控性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识别项目全生命周期的主要风险因素</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研究判断项目面临的主要风险</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有针对性地制定风险管控方案及风险应急预案</w:t>
      </w:r>
      <w:r>
        <w:rPr>
          <w:rFonts w:hint="eastAsia" w:ascii="Times New Roman" w:hAnsi="Times New Roman" w:cs="Times New Roman"/>
          <w:sz w:val="24"/>
          <w:lang w:val="en-US" w:eastAsia="zh-CN"/>
        </w:rPr>
        <w:t xml:space="preserve">                       </w:t>
      </w:r>
      <w:r>
        <w:rPr>
          <w:rFonts w:hint="eastAsia" w:asciiTheme="minorEastAsia" w:hAnsiTheme="minorEastAsia"/>
          <w:sz w:val="24"/>
          <w:lang w:val="en-US" w:eastAsia="zh-CN"/>
        </w:rPr>
        <w:sym w:font="Wingdings 2" w:char="00A3"/>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DB71A"/>
    <w:multiLevelType w:val="singleLevel"/>
    <w:tmpl w:val="FDEDB71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BF"/>
    <w:rsid w:val="00003474"/>
    <w:rsid w:val="000458DB"/>
    <w:rsid w:val="003413BA"/>
    <w:rsid w:val="003F2B46"/>
    <w:rsid w:val="005B4C51"/>
    <w:rsid w:val="007220BF"/>
    <w:rsid w:val="00975781"/>
    <w:rsid w:val="00B32FC7"/>
    <w:rsid w:val="00E62A2A"/>
    <w:rsid w:val="1FC50A3C"/>
    <w:rsid w:val="3FB76BA0"/>
    <w:rsid w:val="6FEFC882"/>
    <w:rsid w:val="7F2D957D"/>
    <w:rsid w:val="BFBB0DB6"/>
    <w:rsid w:val="DFFF1E8E"/>
    <w:rsid w:val="FB1F7E76"/>
    <w:rsid w:val="FBBE0994"/>
    <w:rsid w:val="FCFD25F6"/>
    <w:rsid w:val="FDF58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101</Words>
  <Characters>578</Characters>
  <Lines>4</Lines>
  <Paragraphs>1</Paragraphs>
  <TotalTime>17</TotalTime>
  <ScaleCrop>false</ScaleCrop>
  <LinksUpToDate>false</LinksUpToDate>
  <CharactersWithSpaces>678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2023-05-07T18:11:00Z</dcterms:created>
  <dc:creator>方福来</dc:creator>
  <cp:lastModifiedBy>inspur</cp:lastModifiedBy>
  <cp:lastPrinted>2023-11-23T16:50:26Z</cp:lastPrinted>
  <dcterms:modified xsi:type="dcterms:W3CDTF">2023-11-23T16:55:25Z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