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2C" w:rsidRDefault="009C6E43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厦门市公共信用信息查询获取</w:t>
      </w:r>
      <w:r w:rsidR="00B02C31">
        <w:rPr>
          <w:rFonts w:ascii="宋体" w:eastAsia="宋体" w:hAnsi="宋体" w:hint="eastAsia"/>
          <w:b/>
          <w:bCs/>
          <w:sz w:val="44"/>
          <w:szCs w:val="44"/>
        </w:rPr>
        <w:t>规程</w:t>
      </w:r>
    </w:p>
    <w:p w:rsidR="00AD6CA6" w:rsidRPr="00354751" w:rsidRDefault="00AD6CA6" w:rsidP="00AD6CA6">
      <w:pPr>
        <w:jc w:val="center"/>
        <w:rPr>
          <w:rFonts w:ascii="楷体_GB2312" w:eastAsia="楷体_GB2312" w:hint="eastAsia"/>
          <w:sz w:val="32"/>
          <w:szCs w:val="32"/>
        </w:rPr>
      </w:pPr>
      <w:r w:rsidRPr="00354751">
        <w:rPr>
          <w:rFonts w:ascii="楷体_GB2312" w:eastAsia="楷体_GB2312" w:hint="eastAsia"/>
          <w:sz w:val="32"/>
          <w:szCs w:val="32"/>
        </w:rPr>
        <w:t>（征求意见稿）</w:t>
      </w:r>
    </w:p>
    <w:p w:rsidR="001C772C" w:rsidRDefault="001C772C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第一条（目的依据）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为保障社会信用主体权益，规范公共信用信息查询、获取流程，按照《厦门经济特区社会信用条例》及有关法律法规，结合我市工作实际，制定本</w:t>
      </w:r>
      <w:r w:rsidR="00B02C31">
        <w:rPr>
          <w:rFonts w:ascii="仿宋_GB2312" w:eastAsia="仿宋_GB2312" w:hAnsi="仿宋_GB2312" w:cs="仿宋_GB2312" w:hint="eastAsia"/>
          <w:sz w:val="32"/>
          <w:szCs w:val="32"/>
        </w:rPr>
        <w:t>规程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第二条（适用范围）</w:t>
      </w:r>
    </w:p>
    <w:p w:rsidR="001C772C" w:rsidRDefault="009C6E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社会信用主体</w:t>
      </w:r>
      <w:r>
        <w:rPr>
          <w:rFonts w:ascii="仿宋_GB2312" w:eastAsia="仿宋_GB2312" w:hAnsi="仿宋_GB2312" w:cs="仿宋_GB2312" w:hint="eastAsia"/>
          <w:sz w:val="32"/>
          <w:szCs w:val="32"/>
        </w:rPr>
        <w:t>向公共信用信息提供单位</w:t>
      </w:r>
      <w:r w:rsidR="00491740">
        <w:rPr>
          <w:rFonts w:ascii="仿宋_GB2312" w:eastAsia="仿宋_GB2312" w:hAnsi="仿宋_GB2312" w:cs="仿宋_GB2312" w:hint="eastAsia"/>
          <w:sz w:val="32"/>
          <w:szCs w:val="32"/>
        </w:rPr>
        <w:t>、市信用服务中心（以下简称市信用中心）</w:t>
      </w:r>
      <w:r>
        <w:rPr>
          <w:rFonts w:ascii="仿宋_GB2312" w:eastAsia="仿宋_GB2312" w:hAnsi="仿宋_GB2312" w:cs="仿宋_GB2312" w:hint="eastAsia"/>
          <w:sz w:val="32"/>
          <w:szCs w:val="32"/>
        </w:rPr>
        <w:t>或通过</w:t>
      </w:r>
      <w:r>
        <w:rPr>
          <w:rFonts w:ascii="仿宋_GB2312" w:eastAsia="仿宋_GB2312" w:hAnsi="仿宋_GB2312" w:cs="仿宋_GB2312"/>
          <w:sz w:val="32"/>
          <w:szCs w:val="32"/>
        </w:rPr>
        <w:t>市公共信用信息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平台（以下简称市信用平台）查询、</w:t>
      </w:r>
      <w:r>
        <w:rPr>
          <w:rFonts w:ascii="仿宋_GB2312" w:eastAsia="仿宋_GB2312" w:hAnsi="仿宋_GB2312" w:cs="仿宋_GB2312"/>
          <w:sz w:val="32"/>
          <w:szCs w:val="32"/>
        </w:rPr>
        <w:t>获取公共信用信息</w:t>
      </w:r>
      <w:r w:rsidR="00491740">
        <w:rPr>
          <w:rFonts w:ascii="仿宋_GB2312" w:eastAsia="仿宋_GB2312" w:cs="仿宋_GB2312" w:hint="eastAsia"/>
          <w:sz w:val="32"/>
          <w:szCs w:val="32"/>
        </w:rPr>
        <w:t>应当遵守本</w:t>
      </w:r>
      <w:r w:rsidR="00B02C31">
        <w:rPr>
          <w:rFonts w:ascii="仿宋_GB2312" w:eastAsia="仿宋_GB2312" w:cs="仿宋_GB2312" w:hint="eastAsia"/>
          <w:sz w:val="32"/>
          <w:szCs w:val="32"/>
        </w:rPr>
        <w:t>规程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第三条（基本原则）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公共信用信息查询、获取应当维护社会信用主体的合法权益，不得侵犯国家秘密、商业秘密、个人隐私和其他个人信息。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第四条（职责分工）</w:t>
      </w:r>
    </w:p>
    <w:p w:rsidR="009D0739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市发展和改革委员会是我市公共信用主管部门，负责公共信用信息查询、获取的统筹协调和监督管理。</w:t>
      </w:r>
    </w:p>
    <w:p w:rsidR="009D0739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市信用中心负责规范</w:t>
      </w:r>
      <w:r w:rsidR="006D5849">
        <w:rPr>
          <w:rFonts w:ascii="仿宋_GB2312" w:eastAsia="仿宋_GB2312" w:hAnsi="仿宋_GB2312" w:cs="仿宋_GB2312" w:hint="eastAsia"/>
          <w:sz w:val="32"/>
          <w:szCs w:val="32"/>
        </w:rPr>
        <w:t>市信用平台公共信用信息的</w:t>
      </w:r>
      <w:r>
        <w:rPr>
          <w:rFonts w:ascii="仿宋_GB2312" w:eastAsia="仿宋_GB2312" w:hAnsi="仿宋_GB2312" w:cs="仿宋_GB2312" w:hint="eastAsia"/>
          <w:sz w:val="32"/>
          <w:szCs w:val="32"/>
        </w:rPr>
        <w:t>查询服务流程和标准，设置</w:t>
      </w:r>
      <w:r w:rsidR="008679EC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346BD2">
        <w:rPr>
          <w:rFonts w:ascii="仿宋_GB2312" w:eastAsia="仿宋_GB2312" w:hAnsi="仿宋_GB2312" w:cs="仿宋_GB2312" w:hint="eastAsia"/>
          <w:sz w:val="32"/>
          <w:szCs w:val="32"/>
        </w:rPr>
        <w:t>咨询点</w:t>
      </w:r>
      <w:r>
        <w:rPr>
          <w:rFonts w:ascii="仿宋_GB2312" w:eastAsia="仿宋_GB2312" w:hAnsi="仿宋_GB2312" w:cs="仿宋_GB2312" w:hint="eastAsia"/>
          <w:sz w:val="32"/>
          <w:szCs w:val="32"/>
        </w:rPr>
        <w:t>，向社会提供便捷的查询服务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772C" w:rsidRDefault="009D073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信息提供单位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在职责范围内，依法受理直接向本单位提出的公共信用信息查询。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第四条（信息归类）</w:t>
      </w:r>
    </w:p>
    <w:p w:rsidR="001C772C" w:rsidRDefault="009C6E4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公共信用信息</w:t>
      </w:r>
      <w:r>
        <w:rPr>
          <w:rFonts w:ascii="仿宋_GB2312" w:eastAsia="仿宋_GB2312" w:hAnsi="仿宋_GB2312" w:cs="仿宋_GB2312"/>
          <w:sz w:val="32"/>
          <w:szCs w:val="32"/>
        </w:rPr>
        <w:t>分为</w:t>
      </w:r>
      <w:r w:rsidR="00B7702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/>
          <w:sz w:val="32"/>
          <w:szCs w:val="32"/>
        </w:rPr>
        <w:t>、授权查询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/>
          <w:sz w:val="32"/>
          <w:szCs w:val="32"/>
        </w:rPr>
        <w:t>和政务共享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1C772C" w:rsidRDefault="009C6E4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7702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公开信息：是指</w:t>
      </w:r>
      <w:r w:rsidR="00B77025">
        <w:rPr>
          <w:rFonts w:ascii="仿宋_GB2312" w:eastAsia="仿宋_GB2312" w:hAnsi="仿宋_GB2312" w:cs="仿宋_GB2312" w:hint="eastAsia"/>
          <w:sz w:val="32"/>
          <w:szCs w:val="32"/>
        </w:rPr>
        <w:t>依法依规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</w:t>
      </w:r>
      <w:r w:rsidR="00B77025">
        <w:rPr>
          <w:rFonts w:ascii="仿宋_GB2312" w:eastAsia="仿宋_GB2312" w:hAnsi="仿宋_GB2312" w:cs="仿宋_GB2312" w:hint="eastAsia"/>
          <w:sz w:val="32"/>
          <w:szCs w:val="32"/>
        </w:rPr>
        <w:t>向社会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主动公开的信息，或者政府部门根据行政管理需要公开的信息；</w:t>
      </w:r>
    </w:p>
    <w:p w:rsidR="001C772C" w:rsidRDefault="009C6E4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（二）授权查询信息：是指需由信用主体授权同意才能被查询知悉的信息</w:t>
      </w:r>
      <w:r w:rsidR="00E8144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C772C" w:rsidRDefault="009C6E4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（三）政务共享信息：是指在信息提供主体间有条件的共享、查询和使用的信息。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第五条（</w:t>
      </w:r>
      <w:r w:rsidR="00B77025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公开信息查询）</w:t>
      </w:r>
    </w:p>
    <w:p w:rsidR="001C772C" w:rsidRDefault="009D073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公开的公共信用信息，社会信用主体可通过“信用中国（福建厦门）”网站（</w:t>
      </w:r>
      <w:r w:rsidR="009C6E43">
        <w:rPr>
          <w:rFonts w:ascii="仿宋_GB2312" w:eastAsia="仿宋_GB2312" w:hAnsi="仿宋_GB2312" w:cs="仿宋_GB2312"/>
          <w:sz w:val="32"/>
          <w:szCs w:val="32"/>
        </w:rPr>
        <w:t>credit.xm.gov.cn）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和信息提供单位对外发布信息的平台直接查询，无须申请。</w:t>
      </w:r>
    </w:p>
    <w:p w:rsidR="001C772C" w:rsidRDefault="009C6E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第六条（授权查询方式）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依法需授权查询的公共信用信息，社会信用主体可通过以下方式进行查询：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（一）社会信用主体可登录“信用中国（福建厦门）”网站（credit.xm.gov.cn）信用查询模块，按提示完成身份验证（“i厦门”平台实名认证）后，查询自身公共信用信息。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（二）社会信用主体查询他人授权信息，需向信息提供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单位或市信用中心设立的</w:t>
      </w:r>
      <w:r w:rsidR="007C474F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346BD2">
        <w:rPr>
          <w:rFonts w:ascii="仿宋_GB2312" w:eastAsia="仿宋_GB2312" w:hAnsi="仿宋_GB2312" w:cs="仿宋_GB2312" w:hint="eastAsia"/>
          <w:sz w:val="32"/>
          <w:szCs w:val="32"/>
        </w:rPr>
        <w:t>咨询点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进行现场申请，并提供相关授权查询申请材料</w:t>
      </w:r>
      <w:r w:rsidR="00D427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42799">
        <w:rPr>
          <w:rFonts w:ascii="仿宋_GB2312" w:eastAsia="仿宋_GB2312" w:cs="仿宋_GB2312" w:hint="eastAsia"/>
          <w:sz w:val="32"/>
          <w:szCs w:val="32"/>
        </w:rPr>
        <w:t>申请材料齐全的，现场予以受理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第七条（授权查询申请材料）</w:t>
      </w:r>
    </w:p>
    <w:p w:rsidR="001C772C" w:rsidRDefault="009C6E43">
      <w:pPr>
        <w:snapToGrid w:val="0"/>
        <w:spacing w:line="5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自然人查询他人授权信息，应当提供以下材料：</w:t>
      </w:r>
    </w:p>
    <w:p w:rsidR="001C772C" w:rsidRDefault="009C6E43">
      <w:pPr>
        <w:pStyle w:val="ab"/>
        <w:snapToGrid w:val="0"/>
        <w:spacing w:line="580" w:lineRule="atLeast"/>
        <w:ind w:left="5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（一）居民身份证原件；</w:t>
      </w:r>
    </w:p>
    <w:p w:rsidR="002A005C" w:rsidRPr="002A005C" w:rsidRDefault="009C6E43" w:rsidP="002A005C">
      <w:pPr>
        <w:pStyle w:val="ab"/>
        <w:snapToGrid w:val="0"/>
        <w:spacing w:line="580" w:lineRule="atLeast"/>
        <w:ind w:left="5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（二）委托人签名的委托书原件；</w:t>
      </w:r>
    </w:p>
    <w:p w:rsidR="00404960" w:rsidRPr="00404960" w:rsidRDefault="009C6E43">
      <w:pPr>
        <w:pStyle w:val="ab"/>
        <w:snapToGrid w:val="0"/>
        <w:spacing w:line="580" w:lineRule="atLeast"/>
        <w:ind w:left="56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97063A" w:rsidRPr="0097063A">
        <w:rPr>
          <w:rFonts w:ascii="仿宋_GB2312" w:eastAsia="仿宋_GB2312" w:hAnsi="仿宋_GB2312" w:cs="仿宋_GB2312" w:hint="eastAsia"/>
          <w:sz w:val="32"/>
          <w:szCs w:val="32"/>
        </w:rPr>
        <w:t>授权查询申请表；</w:t>
      </w:r>
    </w:p>
    <w:p w:rsidR="001C772C" w:rsidRDefault="009C6E43">
      <w:pPr>
        <w:snapToGrid w:val="0"/>
        <w:spacing w:line="5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法人查询他人授权信息，应当提供以下材料：</w:t>
      </w:r>
    </w:p>
    <w:p w:rsidR="001C772C" w:rsidRDefault="009C6E43">
      <w:pPr>
        <w:snapToGrid w:val="0"/>
        <w:spacing w:line="5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8A0F30">
        <w:rPr>
          <w:rFonts w:ascii="仿宋_GB2312" w:eastAsia="仿宋_GB2312" w:hAnsi="仿宋_GB2312" w:cs="仿宋_GB2312" w:hint="eastAsia"/>
          <w:sz w:val="32"/>
          <w:szCs w:val="32"/>
        </w:rPr>
        <w:t>商事主体登记</w:t>
      </w:r>
      <w:r w:rsidR="00CA1D07">
        <w:rPr>
          <w:rFonts w:ascii="仿宋_GB2312" w:eastAsia="仿宋_GB2312" w:hAnsi="仿宋_GB2312" w:cs="仿宋_GB2312" w:hint="eastAsia"/>
          <w:sz w:val="32"/>
          <w:szCs w:val="32"/>
        </w:rPr>
        <w:t>或其他身份登记证件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复印件（加盖公章）；</w:t>
      </w:r>
    </w:p>
    <w:p w:rsidR="001C772C" w:rsidRDefault="009C6E43">
      <w:pPr>
        <w:snapToGrid w:val="0"/>
        <w:spacing w:line="5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（二）授权委托书原件（加盖公章）；</w:t>
      </w:r>
    </w:p>
    <w:p w:rsidR="001C772C" w:rsidRDefault="009C6E43">
      <w:pPr>
        <w:snapToGrid w:val="0"/>
        <w:spacing w:line="5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（三）代理人身份证原件；</w:t>
      </w:r>
    </w:p>
    <w:p w:rsidR="001C772C" w:rsidRDefault="009C6E43">
      <w:pPr>
        <w:snapToGrid w:val="0"/>
        <w:spacing w:line="58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（四）授权查询申请表；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第八条（政务查询范围）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行政机关、法律法规授权的具有管理公共事务职能的组织，在以下工作中根据履职需要查询社会信用信息：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/>
          <w:sz w:val="32"/>
          <w:szCs w:val="32"/>
        </w:rPr>
        <w:t>实施行政许可、行政检查和较大数额行政处罚；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/>
          <w:sz w:val="32"/>
          <w:szCs w:val="32"/>
        </w:rPr>
        <w:t>政府采购、招标投标、资金和项目支持、国有土地使用权出让、科研管理等；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/>
          <w:sz w:val="32"/>
          <w:szCs w:val="32"/>
        </w:rPr>
        <w:t>国家工作人员招录、职务任用、职务晋升、职称评聘；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/>
          <w:sz w:val="32"/>
          <w:szCs w:val="32"/>
        </w:rPr>
        <w:t>表彰奖励；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/>
          <w:sz w:val="32"/>
          <w:szCs w:val="32"/>
        </w:rPr>
        <w:t>涉及公共安全，需要开展综合风险分析的；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</w:t>
      </w:r>
      <w:r>
        <w:rPr>
          <w:rFonts w:ascii="仿宋_GB2312" w:eastAsia="仿宋_GB2312" w:hAnsi="仿宋_GB2312" w:cs="仿宋_GB2312"/>
          <w:sz w:val="32"/>
          <w:szCs w:val="32"/>
        </w:rPr>
        <w:t>国家、省、市规定的其他情形。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其他国家机关、群团组织，参照前款规定查询社会信用信息。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第九条（政务查询方式）</w:t>
      </w:r>
    </w:p>
    <w:p w:rsidR="001C772C" w:rsidRDefault="009C6E4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行政机关、法律法规授权的具有管理公共事务职能的组织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我市公共信用信息目录、本单位工作职责向市信用中心提出查询需求。市信用中心按照各单位提出的查询需求配置相关查询权限。有条件的信息使用单位应在业务系统中采用嵌入式接口调用方式，实时获取并使用公共信用信息。</w:t>
      </w:r>
    </w:p>
    <w:p w:rsidR="001C772C" w:rsidRDefault="009C6E4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无法实现接口调用的，由市信用中心按照其查询需求开设查询账号，</w:t>
      </w:r>
      <w:r w:rsidR="00FA073E"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单位应使用本单位账号在市信用平台自主查询。</w:t>
      </w:r>
    </w:p>
    <w:p w:rsidR="001C772C" w:rsidRDefault="009C6E4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因特殊原因需市信用中心协助查询的，应向市公共信用主管部门出具查询申请，说明查询原因和内容。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第十条（信用报告）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公共信用信息查询结果以公共信用报告形式体现。公共信用报告内容包括报告编码、查询时间、报告内容、防伪电子水印等信息。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公共信用报告客观反映社会信用主体的公共信用信息，市公共信用主管部门、市信用中心不得对信用报告进行评价，不得对各部门的用信情况进行评价。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第十一条（保密措施）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授权查询信息、政务共享信息应严格按照查询用途使用，对查询对象的公共信用报告进行保密，不得将其另作他用。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第十二条（日志管理）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市信用中心负责做好市信用平台的查询、获取日志管理工作，如实记录公共信用信息的查询主体、查询日期、查询原因、查询结果等日志信息，并永久保存。任何人员不得私自删除、修改和泄露日志信息。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第十三条（档案管理）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查询申请材料的归档以及保管应指定专人负责，保管期限为五年。档案资料的借阅应当严格限定范围</w:t>
      </w:r>
      <w:r w:rsidR="006D5849">
        <w:rPr>
          <w:rFonts w:ascii="仿宋_GB2312" w:eastAsia="仿宋_GB2312" w:hAnsi="仿宋_GB2312" w:cs="仿宋_GB2312" w:hint="eastAsia"/>
          <w:sz w:val="32"/>
          <w:szCs w:val="32"/>
        </w:rPr>
        <w:t>。对于向市信用中心申请查询公共信用信息的查询申请材料，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无市公共信用主管部门授权，任何人不得擅自查询、借阅和复制档案资料。</w:t>
      </w:r>
    </w:p>
    <w:p w:rsidR="001C772C" w:rsidRDefault="009C6E4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第十四条（监督考核）</w:t>
      </w:r>
    </w:p>
    <w:p w:rsidR="00B528EE" w:rsidRDefault="00C20F20" w:rsidP="00B528E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市信用中心应按本规程</w:t>
      </w:r>
      <w:r w:rsidR="00B528EE">
        <w:rPr>
          <w:rFonts w:ascii="仿宋_GB2312" w:eastAsia="仿宋_GB2312" w:hAnsi="仿宋_GB2312" w:cs="仿宋_GB2312" w:hint="eastAsia"/>
          <w:sz w:val="32"/>
          <w:szCs w:val="32"/>
        </w:rPr>
        <w:t>提供信用查询服务。</w:t>
      </w:r>
    </w:p>
    <w:p w:rsidR="0097063A" w:rsidRDefault="00E7381D" w:rsidP="0097063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信息提供单位应制定本单位公共信用信息查询、获取工作规范，妥善保管市信用平台账户信息和所获得</w:t>
      </w:r>
      <w:r w:rsidR="00BC38FF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信用信息，及时受理社会信用主体提交的查询申请</w:t>
      </w:r>
      <w:r w:rsidR="007E31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未按照本</w:t>
      </w:r>
      <w:r w:rsidR="00C20F20">
        <w:rPr>
          <w:rFonts w:ascii="仿宋_GB2312" w:eastAsia="仿宋_GB2312" w:hAnsi="仿宋_GB2312" w:cs="仿宋_GB2312" w:hint="eastAsia"/>
          <w:sz w:val="32"/>
          <w:szCs w:val="32"/>
        </w:rPr>
        <w:t>规程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 w:rsidR="00B528EE">
        <w:rPr>
          <w:rFonts w:ascii="仿宋_GB2312" w:eastAsia="仿宋_GB2312" w:hAnsi="仿宋_GB2312" w:cs="仿宋_GB2312" w:hint="eastAsia"/>
          <w:sz w:val="32"/>
          <w:szCs w:val="32"/>
        </w:rPr>
        <w:t>公共信用信息</w:t>
      </w:r>
      <w:r w:rsidR="009C6E43">
        <w:rPr>
          <w:rFonts w:ascii="仿宋_GB2312" w:eastAsia="仿宋_GB2312" w:hAnsi="仿宋_GB2312" w:cs="仿宋_GB2312" w:hint="eastAsia"/>
          <w:sz w:val="32"/>
          <w:szCs w:val="32"/>
        </w:rPr>
        <w:t>查询、获取的，根据市社会信用体系建设有关工作考核办法，给予绩效扣分。</w:t>
      </w:r>
    </w:p>
    <w:p w:rsidR="001C772C" w:rsidRDefault="009C6E4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第十五条（附则）</w:t>
      </w:r>
    </w:p>
    <w:p w:rsidR="001C772C" w:rsidRDefault="009C6E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C20F20">
        <w:rPr>
          <w:rFonts w:ascii="仿宋_GB2312" w:eastAsia="仿宋_GB2312" w:hAnsi="仿宋_GB2312" w:cs="仿宋_GB2312" w:hint="eastAsia"/>
          <w:sz w:val="32"/>
          <w:szCs w:val="32"/>
        </w:rPr>
        <w:t>规程</w:t>
      </w:r>
      <w:r>
        <w:rPr>
          <w:rFonts w:ascii="仿宋_GB2312" w:eastAsia="仿宋_GB2312" w:hAnsi="仿宋_GB2312" w:cs="仿宋_GB2312" w:hint="eastAsia"/>
          <w:sz w:val="32"/>
          <w:szCs w:val="32"/>
        </w:rPr>
        <w:t>由厦门市发展和改革委员会负责解释。</w:t>
      </w:r>
    </w:p>
    <w:p w:rsidR="001C772C" w:rsidRDefault="009C6E43" w:rsidP="00FA07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</w:t>
      </w:r>
      <w:r w:rsidR="00C20F20">
        <w:rPr>
          <w:rFonts w:ascii="仿宋_GB2312" w:eastAsia="仿宋_GB2312" w:hAnsi="仿宋_GB2312" w:cs="仿宋_GB2312" w:hint="eastAsia"/>
          <w:sz w:val="32"/>
          <w:szCs w:val="32"/>
        </w:rPr>
        <w:t>规程</w:t>
      </w:r>
      <w:r>
        <w:rPr>
          <w:rFonts w:ascii="仿宋_GB2312" w:eastAsia="仿宋_GB2312" w:hAnsi="仿宋_GB2312" w:cs="仿宋_GB2312" w:hint="eastAsia"/>
          <w:sz w:val="32"/>
          <w:szCs w:val="32"/>
        </w:rPr>
        <w:t>自印发之日起实施。</w:t>
      </w:r>
    </w:p>
    <w:sectPr w:rsidR="001C772C" w:rsidSect="001C772C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69" w:rsidRDefault="00B96A69" w:rsidP="001C772C">
      <w:r>
        <w:separator/>
      </w:r>
    </w:p>
  </w:endnote>
  <w:endnote w:type="continuationSeparator" w:id="1">
    <w:p w:rsidR="00B96A69" w:rsidRDefault="00B96A69" w:rsidP="001C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788547862"/>
    </w:sdtPr>
    <w:sdtContent>
      <w:p w:rsidR="00CA1D07" w:rsidRDefault="00ED393F">
        <w:pPr>
          <w:pStyle w:val="a5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CA1D07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CA1D07" w:rsidRDefault="00CA1D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822386881"/>
    </w:sdtPr>
    <w:sdtContent>
      <w:p w:rsidR="00CA1D07" w:rsidRDefault="00ED393F">
        <w:pPr>
          <w:pStyle w:val="a5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CA1D07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E97CF3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:rsidR="00CA1D07" w:rsidRDefault="00CA1D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69" w:rsidRDefault="00B96A69" w:rsidP="001C772C">
      <w:r>
        <w:separator/>
      </w:r>
    </w:p>
  </w:footnote>
  <w:footnote w:type="continuationSeparator" w:id="1">
    <w:p w:rsidR="00B96A69" w:rsidRDefault="00B96A69" w:rsidP="001C7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89"/>
    <w:rsid w:val="00000149"/>
    <w:rsid w:val="00016C4A"/>
    <w:rsid w:val="0002232F"/>
    <w:rsid w:val="00035C6F"/>
    <w:rsid w:val="000744E0"/>
    <w:rsid w:val="00081386"/>
    <w:rsid w:val="00082C40"/>
    <w:rsid w:val="000E5765"/>
    <w:rsid w:val="0013765A"/>
    <w:rsid w:val="001663A6"/>
    <w:rsid w:val="0016705D"/>
    <w:rsid w:val="0016787D"/>
    <w:rsid w:val="001A3A43"/>
    <w:rsid w:val="001B6089"/>
    <w:rsid w:val="001C2322"/>
    <w:rsid w:val="001C772C"/>
    <w:rsid w:val="001D586C"/>
    <w:rsid w:val="001F0859"/>
    <w:rsid w:val="0022175B"/>
    <w:rsid w:val="00253974"/>
    <w:rsid w:val="00271692"/>
    <w:rsid w:val="0028786D"/>
    <w:rsid w:val="002A005C"/>
    <w:rsid w:val="002D3E59"/>
    <w:rsid w:val="002D4B1A"/>
    <w:rsid w:val="002D4CF6"/>
    <w:rsid w:val="00304C65"/>
    <w:rsid w:val="003228C6"/>
    <w:rsid w:val="00346BD2"/>
    <w:rsid w:val="00354694"/>
    <w:rsid w:val="00393844"/>
    <w:rsid w:val="003A2AB1"/>
    <w:rsid w:val="003D5651"/>
    <w:rsid w:val="003E46DA"/>
    <w:rsid w:val="003E742F"/>
    <w:rsid w:val="00404960"/>
    <w:rsid w:val="00442F3B"/>
    <w:rsid w:val="00444DDB"/>
    <w:rsid w:val="00470149"/>
    <w:rsid w:val="004732B8"/>
    <w:rsid w:val="0048460A"/>
    <w:rsid w:val="0049077C"/>
    <w:rsid w:val="00491740"/>
    <w:rsid w:val="004A626B"/>
    <w:rsid w:val="004F4D5C"/>
    <w:rsid w:val="00516112"/>
    <w:rsid w:val="00554B8D"/>
    <w:rsid w:val="00576840"/>
    <w:rsid w:val="005B0105"/>
    <w:rsid w:val="00600CC0"/>
    <w:rsid w:val="00616902"/>
    <w:rsid w:val="00617F91"/>
    <w:rsid w:val="00633108"/>
    <w:rsid w:val="00634E24"/>
    <w:rsid w:val="006652B2"/>
    <w:rsid w:val="006B5EF3"/>
    <w:rsid w:val="006C1D9C"/>
    <w:rsid w:val="006D5849"/>
    <w:rsid w:val="007320AC"/>
    <w:rsid w:val="00742DC2"/>
    <w:rsid w:val="00796877"/>
    <w:rsid w:val="007B43AE"/>
    <w:rsid w:val="007C463D"/>
    <w:rsid w:val="007C474F"/>
    <w:rsid w:val="007E3151"/>
    <w:rsid w:val="00802131"/>
    <w:rsid w:val="008042D1"/>
    <w:rsid w:val="008228B3"/>
    <w:rsid w:val="00843D48"/>
    <w:rsid w:val="008679EC"/>
    <w:rsid w:val="00886C55"/>
    <w:rsid w:val="008A0F30"/>
    <w:rsid w:val="008A49B5"/>
    <w:rsid w:val="008B4076"/>
    <w:rsid w:val="008C2434"/>
    <w:rsid w:val="008E2D39"/>
    <w:rsid w:val="008E4654"/>
    <w:rsid w:val="008F474F"/>
    <w:rsid w:val="0097063A"/>
    <w:rsid w:val="00971C2B"/>
    <w:rsid w:val="00986C01"/>
    <w:rsid w:val="00987351"/>
    <w:rsid w:val="009A543C"/>
    <w:rsid w:val="009B372B"/>
    <w:rsid w:val="009B397A"/>
    <w:rsid w:val="009C1C36"/>
    <w:rsid w:val="009C6E43"/>
    <w:rsid w:val="009D0739"/>
    <w:rsid w:val="009D2B2E"/>
    <w:rsid w:val="00A02F4D"/>
    <w:rsid w:val="00A3316D"/>
    <w:rsid w:val="00A52BF0"/>
    <w:rsid w:val="00A63E02"/>
    <w:rsid w:val="00A6674B"/>
    <w:rsid w:val="00A80449"/>
    <w:rsid w:val="00A95E12"/>
    <w:rsid w:val="00A96828"/>
    <w:rsid w:val="00AC684B"/>
    <w:rsid w:val="00AD6CA6"/>
    <w:rsid w:val="00AE6415"/>
    <w:rsid w:val="00B02C0A"/>
    <w:rsid w:val="00B02C31"/>
    <w:rsid w:val="00B272FA"/>
    <w:rsid w:val="00B43A69"/>
    <w:rsid w:val="00B46778"/>
    <w:rsid w:val="00B528EE"/>
    <w:rsid w:val="00B53788"/>
    <w:rsid w:val="00B77025"/>
    <w:rsid w:val="00B91529"/>
    <w:rsid w:val="00B96A69"/>
    <w:rsid w:val="00BB3393"/>
    <w:rsid w:val="00BC38FF"/>
    <w:rsid w:val="00BE419B"/>
    <w:rsid w:val="00BE4216"/>
    <w:rsid w:val="00C20F20"/>
    <w:rsid w:val="00CA1D07"/>
    <w:rsid w:val="00CA7A0B"/>
    <w:rsid w:val="00CB4B7B"/>
    <w:rsid w:val="00CD6421"/>
    <w:rsid w:val="00D02274"/>
    <w:rsid w:val="00D0771D"/>
    <w:rsid w:val="00D10288"/>
    <w:rsid w:val="00D31A89"/>
    <w:rsid w:val="00D42799"/>
    <w:rsid w:val="00D61F43"/>
    <w:rsid w:val="00D640C1"/>
    <w:rsid w:val="00D664B9"/>
    <w:rsid w:val="00D7152E"/>
    <w:rsid w:val="00D85085"/>
    <w:rsid w:val="00DB1FB5"/>
    <w:rsid w:val="00DC07B8"/>
    <w:rsid w:val="00DE1FD0"/>
    <w:rsid w:val="00DE6707"/>
    <w:rsid w:val="00DF2AD3"/>
    <w:rsid w:val="00E302F7"/>
    <w:rsid w:val="00E6407C"/>
    <w:rsid w:val="00E7381D"/>
    <w:rsid w:val="00E8144E"/>
    <w:rsid w:val="00E87EDA"/>
    <w:rsid w:val="00E97162"/>
    <w:rsid w:val="00E97CF3"/>
    <w:rsid w:val="00EC102C"/>
    <w:rsid w:val="00ED081A"/>
    <w:rsid w:val="00ED393F"/>
    <w:rsid w:val="00EF1D40"/>
    <w:rsid w:val="00EF7C39"/>
    <w:rsid w:val="00F07095"/>
    <w:rsid w:val="00F15CBB"/>
    <w:rsid w:val="00F2722B"/>
    <w:rsid w:val="00F44EAB"/>
    <w:rsid w:val="00F601EC"/>
    <w:rsid w:val="00F912E8"/>
    <w:rsid w:val="00FA073E"/>
    <w:rsid w:val="00FB1EFE"/>
    <w:rsid w:val="00FB4D7E"/>
    <w:rsid w:val="00FE1141"/>
    <w:rsid w:val="027E182A"/>
    <w:rsid w:val="05931B24"/>
    <w:rsid w:val="0D480A3A"/>
    <w:rsid w:val="0DB31038"/>
    <w:rsid w:val="0E100104"/>
    <w:rsid w:val="0E8278BE"/>
    <w:rsid w:val="0EFA4316"/>
    <w:rsid w:val="0FB3737B"/>
    <w:rsid w:val="112C4ECE"/>
    <w:rsid w:val="12FD2FDF"/>
    <w:rsid w:val="134239A1"/>
    <w:rsid w:val="1D913FC4"/>
    <w:rsid w:val="1F3B5155"/>
    <w:rsid w:val="20065806"/>
    <w:rsid w:val="27E23071"/>
    <w:rsid w:val="2A1A5A20"/>
    <w:rsid w:val="2B9C2FCF"/>
    <w:rsid w:val="2D0516F2"/>
    <w:rsid w:val="2D634BFD"/>
    <w:rsid w:val="32BC7CF5"/>
    <w:rsid w:val="34021E37"/>
    <w:rsid w:val="3B7D2423"/>
    <w:rsid w:val="3CE30F73"/>
    <w:rsid w:val="3F636492"/>
    <w:rsid w:val="41B0127E"/>
    <w:rsid w:val="426C6B9E"/>
    <w:rsid w:val="42D47F9E"/>
    <w:rsid w:val="438D3F82"/>
    <w:rsid w:val="47E70048"/>
    <w:rsid w:val="4DF42389"/>
    <w:rsid w:val="4E8F7742"/>
    <w:rsid w:val="519438B0"/>
    <w:rsid w:val="56991F72"/>
    <w:rsid w:val="56D130FC"/>
    <w:rsid w:val="59D93EAD"/>
    <w:rsid w:val="5D24459A"/>
    <w:rsid w:val="60A75EF4"/>
    <w:rsid w:val="62644779"/>
    <w:rsid w:val="64563371"/>
    <w:rsid w:val="64A86CF3"/>
    <w:rsid w:val="65530672"/>
    <w:rsid w:val="66DD593E"/>
    <w:rsid w:val="6B0A1532"/>
    <w:rsid w:val="6C1655BE"/>
    <w:rsid w:val="6DB35ECF"/>
    <w:rsid w:val="6EBA5B98"/>
    <w:rsid w:val="743B6BAD"/>
    <w:rsid w:val="78DC635F"/>
    <w:rsid w:val="79C10C5B"/>
    <w:rsid w:val="7A2062A0"/>
    <w:rsid w:val="7BAC4AE9"/>
    <w:rsid w:val="7DDE6DD5"/>
    <w:rsid w:val="7DE1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C772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C772C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C7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7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sid w:val="001C772C"/>
  </w:style>
  <w:style w:type="character" w:styleId="a8">
    <w:name w:val="Hyperlink"/>
    <w:basedOn w:val="a0"/>
    <w:uiPriority w:val="99"/>
    <w:unhideWhenUsed/>
    <w:qFormat/>
    <w:rsid w:val="001C772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1C772C"/>
    <w:rPr>
      <w:sz w:val="21"/>
      <w:szCs w:val="21"/>
    </w:rPr>
  </w:style>
  <w:style w:type="table" w:styleId="aa">
    <w:name w:val="Table Grid"/>
    <w:basedOn w:val="a1"/>
    <w:uiPriority w:val="59"/>
    <w:rsid w:val="001C772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C772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1C772C"/>
  </w:style>
  <w:style w:type="character" w:customStyle="1" w:styleId="UnresolvedMention">
    <w:name w:val="Unresolved Mention"/>
    <w:basedOn w:val="a0"/>
    <w:uiPriority w:val="99"/>
    <w:semiHidden/>
    <w:unhideWhenUsed/>
    <w:qFormat/>
    <w:rsid w:val="001C772C"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C772C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C772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C772C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1C772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315</Words>
  <Characters>1801</Characters>
  <Application>Microsoft Office Word</Application>
  <DocSecurity>0</DocSecurity>
  <Lines>15</Lines>
  <Paragraphs>4</Paragraphs>
  <ScaleCrop>false</ScaleCrop>
  <Company>中国石油大学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弘</dc:creator>
  <cp:lastModifiedBy>ZhuangDQ</cp:lastModifiedBy>
  <cp:revision>83</cp:revision>
  <dcterms:created xsi:type="dcterms:W3CDTF">2020-04-18T13:29:00Z</dcterms:created>
  <dcterms:modified xsi:type="dcterms:W3CDTF">2020-05-19T09:08:00Z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